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D822C">
      <w:pPr>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w:t>
      </w:r>
    </w:p>
    <w:tbl>
      <w:tblPr>
        <w:tblStyle w:val="10"/>
        <w:tblW w:w="59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83"/>
        <w:gridCol w:w="2324"/>
        <w:gridCol w:w="2413"/>
        <w:gridCol w:w="2203"/>
      </w:tblGrid>
      <w:tr w14:paraId="316EF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5000" w:type="pct"/>
            <w:gridSpan w:val="4"/>
            <w:noWrap w:val="0"/>
            <w:vAlign w:val="center"/>
          </w:tcPr>
          <w:p w14:paraId="456A1B54">
            <w:pPr>
              <w:pStyle w:val="9"/>
              <w:keepNext w:val="0"/>
              <w:keepLines w:val="0"/>
              <w:pageBreakBefore w:val="0"/>
              <w:widowControl/>
              <w:kinsoku/>
              <w:wordWrap/>
              <w:overflowPunct/>
              <w:topLinePunct w:val="0"/>
              <w:autoSpaceDE/>
              <w:autoSpaceDN/>
              <w:bidi w:val="0"/>
              <w:adjustRightInd/>
              <w:snapToGrid/>
              <w:spacing w:before="101" w:line="320" w:lineRule="exact"/>
              <w:ind w:left="0" w:leftChars="0" w:hanging="3" w:firstLineChars="0"/>
              <w:jc w:val="center"/>
              <w:textAlignment w:val="auto"/>
              <w:rPr>
                <w:rFonts w:hint="default" w:ascii="仿宋_GB2312" w:hAnsi="仿宋_GB2312" w:eastAsia="仿宋_GB2312" w:cs="仿宋_GB2312"/>
                <w:b/>
                <w:bCs/>
                <w:snapToGrid w:val="0"/>
                <w:color w:val="000000"/>
                <w:kern w:val="0"/>
                <w:sz w:val="30"/>
                <w:szCs w:val="30"/>
                <w:lang w:val="en" w:eastAsia="zh-CN" w:bidi="ar-SA"/>
              </w:rPr>
            </w:pPr>
            <w:r>
              <w:rPr>
                <w:rFonts w:hint="eastAsia" w:ascii="仿宋_GB2312" w:hAnsi="仿宋_GB2312" w:eastAsia="仿宋_GB2312" w:cs="仿宋_GB2312"/>
                <w:b/>
                <w:bCs/>
                <w:snapToGrid w:val="0"/>
                <w:color w:val="000000"/>
                <w:kern w:val="0"/>
                <w:sz w:val="30"/>
                <w:szCs w:val="30"/>
                <w:lang w:val="en" w:eastAsia="zh-CN" w:bidi="ar-SA"/>
              </w:rPr>
              <w:t>评分标准</w:t>
            </w:r>
          </w:p>
        </w:tc>
      </w:tr>
      <w:tr w14:paraId="5FA3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1503" w:type="pct"/>
            <w:noWrap w:val="0"/>
            <w:vAlign w:val="center"/>
          </w:tcPr>
          <w:p w14:paraId="3E09334F">
            <w:pPr>
              <w:pStyle w:val="9"/>
              <w:keepNext w:val="0"/>
              <w:keepLines w:val="0"/>
              <w:pageBreakBefore w:val="0"/>
              <w:widowControl/>
              <w:kinsoku/>
              <w:wordWrap/>
              <w:overflowPunct/>
              <w:topLinePunct w:val="0"/>
              <w:autoSpaceDE/>
              <w:autoSpaceDN/>
              <w:bidi w:val="0"/>
              <w:adjustRightInd/>
              <w:snapToGrid/>
              <w:spacing w:before="101" w:line="320" w:lineRule="exact"/>
              <w:ind w:left="0" w:leftChars="0" w:hanging="4" w:firstLineChars="0"/>
              <w:jc w:val="center"/>
              <w:textAlignment w:val="auto"/>
              <w:rPr>
                <w:rFonts w:hint="eastAsia" w:ascii="仿宋_GB2312" w:hAnsi="仿宋_GB2312" w:eastAsia="仿宋_GB2312" w:cs="仿宋_GB2312"/>
                <w:b w:val="0"/>
                <w:bCs w:val="0"/>
                <w:snapToGrid w:val="0"/>
                <w:color w:val="000000"/>
                <w:kern w:val="0"/>
                <w:sz w:val="30"/>
                <w:szCs w:val="30"/>
                <w:lang w:val="en-US" w:eastAsia="en-US" w:bidi="ar-SA"/>
              </w:rPr>
            </w:pPr>
            <w:r>
              <w:rPr>
                <w:rFonts w:hint="eastAsia" w:ascii="仿宋_GB2312" w:hAnsi="仿宋_GB2312" w:eastAsia="仿宋_GB2312" w:cs="仿宋_GB2312"/>
                <w:b w:val="0"/>
                <w:bCs w:val="0"/>
                <w:snapToGrid w:val="0"/>
                <w:color w:val="000000"/>
                <w:kern w:val="0"/>
                <w:sz w:val="30"/>
                <w:szCs w:val="30"/>
                <w:lang w:val="en-US" w:eastAsia="en-US" w:bidi="ar-SA"/>
              </w:rPr>
              <w:t>评分项目</w:t>
            </w:r>
          </w:p>
        </w:tc>
        <w:tc>
          <w:tcPr>
            <w:tcW w:w="1171" w:type="pct"/>
            <w:noWrap w:val="0"/>
            <w:vAlign w:val="center"/>
          </w:tcPr>
          <w:p w14:paraId="055CC051">
            <w:pPr>
              <w:pStyle w:val="9"/>
              <w:keepNext w:val="0"/>
              <w:keepLines w:val="0"/>
              <w:pageBreakBefore w:val="0"/>
              <w:widowControl/>
              <w:kinsoku/>
              <w:wordWrap/>
              <w:overflowPunct/>
              <w:topLinePunct w:val="0"/>
              <w:autoSpaceDE/>
              <w:autoSpaceDN/>
              <w:bidi w:val="0"/>
              <w:adjustRightInd/>
              <w:snapToGrid/>
              <w:spacing w:before="101" w:line="320" w:lineRule="exact"/>
              <w:ind w:left="0" w:leftChars="0" w:firstLine="0" w:firstLineChars="0"/>
              <w:jc w:val="center"/>
              <w:textAlignment w:val="auto"/>
              <w:rPr>
                <w:rFonts w:hint="eastAsia" w:ascii="仿宋_GB2312" w:hAnsi="仿宋_GB2312" w:eastAsia="仿宋_GB2312" w:cs="仿宋_GB2312"/>
                <w:b w:val="0"/>
                <w:bCs w:val="0"/>
                <w:snapToGrid w:val="0"/>
                <w:color w:val="000000"/>
                <w:kern w:val="0"/>
                <w:sz w:val="30"/>
                <w:szCs w:val="30"/>
                <w:lang w:val="en-US" w:eastAsia="en-US" w:bidi="ar-SA"/>
              </w:rPr>
            </w:pPr>
            <w:r>
              <w:rPr>
                <w:rFonts w:hint="eastAsia" w:ascii="仿宋_GB2312" w:hAnsi="仿宋_GB2312" w:eastAsia="仿宋_GB2312" w:cs="仿宋_GB2312"/>
                <w:b w:val="0"/>
                <w:bCs w:val="0"/>
                <w:snapToGrid w:val="0"/>
                <w:color w:val="000000"/>
                <w:kern w:val="0"/>
                <w:sz w:val="30"/>
                <w:szCs w:val="30"/>
                <w:lang w:val="en-US" w:eastAsia="zh-CN" w:bidi="ar-SA"/>
              </w:rPr>
              <w:t>基础条件</w:t>
            </w:r>
            <w:r>
              <w:rPr>
                <w:rFonts w:hint="eastAsia" w:ascii="仿宋_GB2312" w:hAnsi="仿宋_GB2312" w:eastAsia="仿宋_GB2312" w:cs="仿宋_GB2312"/>
                <w:b w:val="0"/>
                <w:bCs w:val="0"/>
                <w:snapToGrid w:val="0"/>
                <w:color w:val="000000"/>
                <w:kern w:val="0"/>
                <w:sz w:val="30"/>
                <w:szCs w:val="30"/>
                <w:lang w:val="en-US" w:eastAsia="en-US" w:bidi="ar-SA"/>
              </w:rPr>
              <w:t>评分</w:t>
            </w:r>
          </w:p>
        </w:tc>
        <w:tc>
          <w:tcPr>
            <w:tcW w:w="1216" w:type="pct"/>
            <w:noWrap w:val="0"/>
            <w:vAlign w:val="center"/>
          </w:tcPr>
          <w:p w14:paraId="1826C1AD">
            <w:pPr>
              <w:pStyle w:val="9"/>
              <w:keepNext w:val="0"/>
              <w:keepLines w:val="0"/>
              <w:pageBreakBefore w:val="0"/>
              <w:widowControl/>
              <w:kinsoku/>
              <w:wordWrap/>
              <w:overflowPunct/>
              <w:topLinePunct w:val="0"/>
              <w:autoSpaceDE/>
              <w:autoSpaceDN/>
              <w:bidi w:val="0"/>
              <w:adjustRightInd/>
              <w:snapToGrid/>
              <w:spacing w:before="100" w:line="320" w:lineRule="exact"/>
              <w:ind w:left="21" w:leftChars="0" w:hanging="21" w:hangingChars="7"/>
              <w:jc w:val="center"/>
              <w:textAlignment w:val="auto"/>
              <w:rPr>
                <w:rFonts w:hint="eastAsia" w:ascii="仿宋_GB2312" w:hAnsi="仿宋_GB2312" w:eastAsia="仿宋_GB2312" w:cs="仿宋_GB2312"/>
                <w:b w:val="0"/>
                <w:bCs w:val="0"/>
                <w:snapToGrid w:val="0"/>
                <w:color w:val="000000"/>
                <w:kern w:val="0"/>
                <w:sz w:val="30"/>
                <w:szCs w:val="30"/>
                <w:lang w:val="en-US" w:eastAsia="en-US" w:bidi="ar-SA"/>
              </w:rPr>
            </w:pPr>
            <w:r>
              <w:rPr>
                <w:rFonts w:hint="eastAsia" w:ascii="仿宋_GB2312" w:hAnsi="仿宋_GB2312" w:eastAsia="仿宋_GB2312" w:cs="仿宋_GB2312"/>
                <w:b w:val="0"/>
                <w:bCs w:val="0"/>
                <w:snapToGrid w:val="0"/>
                <w:color w:val="000000"/>
                <w:kern w:val="0"/>
                <w:sz w:val="30"/>
                <w:szCs w:val="30"/>
                <w:lang w:val="en-US" w:eastAsia="en-US" w:bidi="ar-SA"/>
              </w:rPr>
              <w:t>技术评分</w:t>
            </w:r>
          </w:p>
        </w:tc>
        <w:tc>
          <w:tcPr>
            <w:tcW w:w="1108" w:type="pct"/>
            <w:noWrap w:val="0"/>
            <w:vAlign w:val="center"/>
          </w:tcPr>
          <w:p w14:paraId="20FEDD71">
            <w:pPr>
              <w:pStyle w:val="9"/>
              <w:keepNext w:val="0"/>
              <w:keepLines w:val="0"/>
              <w:pageBreakBefore w:val="0"/>
              <w:widowControl/>
              <w:kinsoku/>
              <w:wordWrap/>
              <w:overflowPunct/>
              <w:topLinePunct w:val="0"/>
              <w:autoSpaceDE/>
              <w:autoSpaceDN/>
              <w:bidi w:val="0"/>
              <w:adjustRightInd/>
              <w:snapToGrid/>
              <w:spacing w:before="101" w:line="320" w:lineRule="exact"/>
              <w:ind w:left="0" w:leftChars="0" w:hanging="3" w:firstLineChars="0"/>
              <w:jc w:val="center"/>
              <w:textAlignment w:val="auto"/>
              <w:rPr>
                <w:rFonts w:hint="eastAsia" w:ascii="仿宋_GB2312" w:hAnsi="仿宋_GB2312" w:eastAsia="仿宋_GB2312" w:cs="仿宋_GB2312"/>
                <w:b w:val="0"/>
                <w:bCs w:val="0"/>
                <w:snapToGrid w:val="0"/>
                <w:color w:val="000000"/>
                <w:kern w:val="0"/>
                <w:sz w:val="30"/>
                <w:szCs w:val="30"/>
                <w:lang w:val="en-US" w:eastAsia="en-US" w:bidi="ar-SA"/>
              </w:rPr>
            </w:pPr>
            <w:r>
              <w:rPr>
                <w:rFonts w:hint="eastAsia" w:ascii="仿宋_GB2312" w:hAnsi="仿宋_GB2312" w:eastAsia="仿宋_GB2312" w:cs="仿宋_GB2312"/>
                <w:b w:val="0"/>
                <w:bCs w:val="0"/>
                <w:snapToGrid w:val="0"/>
                <w:color w:val="000000"/>
                <w:kern w:val="0"/>
                <w:sz w:val="30"/>
                <w:szCs w:val="30"/>
                <w:lang w:val="en-US" w:eastAsia="zh-CN" w:bidi="ar-SA"/>
              </w:rPr>
              <w:t>业绩</w:t>
            </w:r>
            <w:r>
              <w:rPr>
                <w:rFonts w:hint="eastAsia" w:ascii="仿宋_GB2312" w:hAnsi="仿宋_GB2312" w:eastAsia="仿宋_GB2312" w:cs="仿宋_GB2312"/>
                <w:b w:val="0"/>
                <w:bCs w:val="0"/>
                <w:snapToGrid w:val="0"/>
                <w:color w:val="000000"/>
                <w:kern w:val="0"/>
                <w:sz w:val="30"/>
                <w:szCs w:val="30"/>
                <w:lang w:val="en-US" w:eastAsia="en-US" w:bidi="ar-SA"/>
              </w:rPr>
              <w:t>评分</w:t>
            </w:r>
          </w:p>
        </w:tc>
      </w:tr>
      <w:tr w14:paraId="24D8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1503" w:type="pct"/>
            <w:noWrap w:val="0"/>
            <w:vAlign w:val="top"/>
          </w:tcPr>
          <w:p w14:paraId="082E38DA">
            <w:pPr>
              <w:pStyle w:val="9"/>
              <w:keepNext w:val="0"/>
              <w:keepLines w:val="0"/>
              <w:pageBreakBefore w:val="0"/>
              <w:widowControl/>
              <w:kinsoku/>
              <w:wordWrap/>
              <w:overflowPunct/>
              <w:topLinePunct w:val="0"/>
              <w:autoSpaceDE/>
              <w:autoSpaceDN/>
              <w:bidi w:val="0"/>
              <w:adjustRightInd/>
              <w:snapToGrid/>
              <w:spacing w:before="190" w:line="320" w:lineRule="exact"/>
              <w:ind w:firstLine="300" w:firstLineChars="100"/>
              <w:jc w:val="both"/>
              <w:textAlignment w:val="auto"/>
              <w:rPr>
                <w:rFonts w:hint="eastAsia" w:ascii="仿宋_GB2312" w:hAnsi="仿宋_GB2312" w:eastAsia="仿宋_GB2312" w:cs="仿宋_GB2312"/>
                <w:b w:val="0"/>
                <w:bCs w:val="0"/>
                <w:snapToGrid w:val="0"/>
                <w:color w:val="000000"/>
                <w:kern w:val="0"/>
                <w:sz w:val="30"/>
                <w:szCs w:val="30"/>
                <w:lang w:val="en-US" w:eastAsia="en-US" w:bidi="ar-SA"/>
              </w:rPr>
            </w:pPr>
            <w:r>
              <w:rPr>
                <w:rFonts w:hint="eastAsia" w:ascii="仿宋_GB2312" w:hAnsi="仿宋_GB2312" w:eastAsia="仿宋_GB2312" w:cs="仿宋_GB2312"/>
                <w:b w:val="0"/>
                <w:bCs w:val="0"/>
                <w:snapToGrid w:val="0"/>
                <w:color w:val="000000"/>
                <w:kern w:val="0"/>
                <w:sz w:val="30"/>
                <w:szCs w:val="30"/>
                <w:lang w:val="en-US" w:eastAsia="en-US" w:bidi="ar-SA"/>
              </w:rPr>
              <w:t>分数（总分100分）</w:t>
            </w:r>
          </w:p>
        </w:tc>
        <w:tc>
          <w:tcPr>
            <w:tcW w:w="1171" w:type="pct"/>
            <w:noWrap w:val="0"/>
            <w:vAlign w:val="center"/>
          </w:tcPr>
          <w:p w14:paraId="1F9DD984">
            <w:pPr>
              <w:pStyle w:val="9"/>
              <w:keepNext w:val="0"/>
              <w:keepLines w:val="0"/>
              <w:pageBreakBefore w:val="0"/>
              <w:widowControl/>
              <w:kinsoku/>
              <w:wordWrap/>
              <w:overflowPunct/>
              <w:topLinePunct w:val="0"/>
              <w:autoSpaceDE/>
              <w:autoSpaceDN/>
              <w:bidi w:val="0"/>
              <w:adjustRightInd/>
              <w:snapToGrid/>
              <w:spacing w:before="78" w:line="320" w:lineRule="exact"/>
              <w:jc w:val="center"/>
              <w:textAlignment w:val="auto"/>
              <w:rPr>
                <w:rFonts w:hint="eastAsia" w:ascii="仿宋_GB2312" w:hAnsi="仿宋_GB2312" w:eastAsia="仿宋_GB2312" w:cs="仿宋_GB2312"/>
                <w:b w:val="0"/>
                <w:bCs w:val="0"/>
                <w:snapToGrid w:val="0"/>
                <w:color w:val="000000"/>
                <w:kern w:val="0"/>
                <w:sz w:val="30"/>
                <w:szCs w:val="30"/>
                <w:lang w:val="en-US" w:eastAsia="en-US" w:bidi="ar-SA"/>
              </w:rPr>
            </w:pPr>
            <w:r>
              <w:rPr>
                <w:rFonts w:hint="eastAsia" w:ascii="仿宋_GB2312" w:hAnsi="仿宋_GB2312" w:eastAsia="仿宋_GB2312" w:cs="仿宋_GB2312"/>
                <w:b w:val="0"/>
                <w:bCs w:val="0"/>
                <w:snapToGrid w:val="0"/>
                <w:color w:val="000000"/>
                <w:kern w:val="0"/>
                <w:sz w:val="30"/>
                <w:szCs w:val="30"/>
                <w:lang w:val="en-US" w:eastAsia="zh-CN" w:bidi="ar-SA"/>
              </w:rPr>
              <w:t>40</w:t>
            </w:r>
            <w:r>
              <w:rPr>
                <w:rFonts w:hint="eastAsia" w:ascii="仿宋_GB2312" w:hAnsi="仿宋_GB2312" w:eastAsia="仿宋_GB2312" w:cs="仿宋_GB2312"/>
                <w:b w:val="0"/>
                <w:bCs w:val="0"/>
                <w:snapToGrid w:val="0"/>
                <w:color w:val="000000"/>
                <w:kern w:val="0"/>
                <w:sz w:val="30"/>
                <w:szCs w:val="30"/>
                <w:lang w:val="en-US" w:eastAsia="en-US" w:bidi="ar-SA"/>
              </w:rPr>
              <w:t>分</w:t>
            </w:r>
          </w:p>
        </w:tc>
        <w:tc>
          <w:tcPr>
            <w:tcW w:w="1216" w:type="pct"/>
            <w:noWrap w:val="0"/>
            <w:vAlign w:val="center"/>
          </w:tcPr>
          <w:p w14:paraId="0D2C9318">
            <w:pPr>
              <w:pStyle w:val="9"/>
              <w:keepNext w:val="0"/>
              <w:keepLines w:val="0"/>
              <w:pageBreakBefore w:val="0"/>
              <w:widowControl/>
              <w:kinsoku/>
              <w:wordWrap/>
              <w:overflowPunct/>
              <w:topLinePunct w:val="0"/>
              <w:autoSpaceDE/>
              <w:autoSpaceDN/>
              <w:bidi w:val="0"/>
              <w:adjustRightInd/>
              <w:snapToGrid/>
              <w:spacing w:before="78" w:line="320" w:lineRule="exact"/>
              <w:jc w:val="center"/>
              <w:textAlignment w:val="auto"/>
              <w:rPr>
                <w:rFonts w:hint="eastAsia" w:ascii="仿宋_GB2312" w:hAnsi="仿宋_GB2312" w:eastAsia="仿宋_GB2312" w:cs="仿宋_GB2312"/>
                <w:b w:val="0"/>
                <w:bCs w:val="0"/>
                <w:snapToGrid w:val="0"/>
                <w:color w:val="000000"/>
                <w:kern w:val="0"/>
                <w:sz w:val="30"/>
                <w:szCs w:val="30"/>
                <w:lang w:val="en-US" w:eastAsia="en-US" w:bidi="ar-SA"/>
              </w:rPr>
            </w:pPr>
            <w:r>
              <w:rPr>
                <w:rFonts w:hint="eastAsia" w:ascii="仿宋_GB2312" w:hAnsi="仿宋_GB2312" w:eastAsia="仿宋_GB2312" w:cs="仿宋_GB2312"/>
                <w:b w:val="0"/>
                <w:bCs w:val="0"/>
                <w:snapToGrid w:val="0"/>
                <w:color w:val="000000"/>
                <w:kern w:val="0"/>
                <w:sz w:val="30"/>
                <w:szCs w:val="30"/>
                <w:lang w:val="en-US" w:eastAsia="zh-CN" w:bidi="ar-SA"/>
              </w:rPr>
              <w:t>50</w:t>
            </w:r>
            <w:r>
              <w:rPr>
                <w:rFonts w:hint="eastAsia" w:ascii="仿宋_GB2312" w:hAnsi="仿宋_GB2312" w:eastAsia="仿宋_GB2312" w:cs="仿宋_GB2312"/>
                <w:b w:val="0"/>
                <w:bCs w:val="0"/>
                <w:snapToGrid w:val="0"/>
                <w:color w:val="000000"/>
                <w:kern w:val="0"/>
                <w:sz w:val="30"/>
                <w:szCs w:val="30"/>
                <w:lang w:val="en-US" w:eastAsia="en-US" w:bidi="ar-SA"/>
              </w:rPr>
              <w:t>分</w:t>
            </w:r>
          </w:p>
        </w:tc>
        <w:tc>
          <w:tcPr>
            <w:tcW w:w="1108" w:type="pct"/>
            <w:noWrap w:val="0"/>
            <w:vAlign w:val="center"/>
          </w:tcPr>
          <w:p w14:paraId="680D7142">
            <w:pPr>
              <w:pStyle w:val="9"/>
              <w:keepNext w:val="0"/>
              <w:keepLines w:val="0"/>
              <w:pageBreakBefore w:val="0"/>
              <w:widowControl/>
              <w:kinsoku/>
              <w:wordWrap/>
              <w:overflowPunct/>
              <w:topLinePunct w:val="0"/>
              <w:autoSpaceDE/>
              <w:autoSpaceDN/>
              <w:bidi w:val="0"/>
              <w:adjustRightInd/>
              <w:snapToGrid/>
              <w:spacing w:before="78" w:line="320" w:lineRule="exact"/>
              <w:jc w:val="center"/>
              <w:textAlignment w:val="auto"/>
              <w:rPr>
                <w:rFonts w:hint="eastAsia" w:ascii="仿宋_GB2312" w:hAnsi="仿宋_GB2312" w:eastAsia="仿宋_GB2312" w:cs="仿宋_GB2312"/>
                <w:b w:val="0"/>
                <w:bCs w:val="0"/>
                <w:snapToGrid w:val="0"/>
                <w:color w:val="000000"/>
                <w:kern w:val="0"/>
                <w:sz w:val="30"/>
                <w:szCs w:val="30"/>
                <w:lang w:val="en-US" w:eastAsia="en-US" w:bidi="ar-SA"/>
              </w:rPr>
            </w:pPr>
            <w:r>
              <w:rPr>
                <w:rFonts w:hint="eastAsia" w:ascii="仿宋_GB2312" w:hAnsi="仿宋_GB2312" w:eastAsia="仿宋_GB2312" w:cs="仿宋_GB2312"/>
                <w:b w:val="0"/>
                <w:bCs w:val="0"/>
                <w:snapToGrid w:val="0"/>
                <w:color w:val="000000"/>
                <w:kern w:val="0"/>
                <w:sz w:val="30"/>
                <w:szCs w:val="30"/>
                <w:lang w:val="en-US" w:eastAsia="zh-CN" w:bidi="ar-SA"/>
              </w:rPr>
              <w:t>10</w:t>
            </w:r>
            <w:r>
              <w:rPr>
                <w:rFonts w:hint="eastAsia" w:ascii="仿宋_GB2312" w:hAnsi="仿宋_GB2312" w:eastAsia="仿宋_GB2312" w:cs="仿宋_GB2312"/>
                <w:b w:val="0"/>
                <w:bCs w:val="0"/>
                <w:snapToGrid w:val="0"/>
                <w:color w:val="000000"/>
                <w:kern w:val="0"/>
                <w:sz w:val="30"/>
                <w:szCs w:val="30"/>
                <w:lang w:val="en-US" w:eastAsia="en-US" w:bidi="ar-SA"/>
              </w:rPr>
              <w:t>分</w:t>
            </w:r>
          </w:p>
        </w:tc>
      </w:tr>
      <w:tr w14:paraId="509E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5000" w:type="pct"/>
            <w:gridSpan w:val="4"/>
            <w:noWrap w:val="0"/>
            <w:vAlign w:val="top"/>
          </w:tcPr>
          <w:p w14:paraId="47733527">
            <w:pPr>
              <w:pStyle w:val="9"/>
              <w:keepNext w:val="0"/>
              <w:keepLines w:val="0"/>
              <w:pageBreakBefore w:val="0"/>
              <w:widowControl/>
              <w:kinsoku/>
              <w:wordWrap/>
              <w:overflowPunct/>
              <w:topLinePunct w:val="0"/>
              <w:autoSpaceDE/>
              <w:autoSpaceDN/>
              <w:bidi w:val="0"/>
              <w:adjustRightInd/>
              <w:snapToGrid/>
              <w:spacing w:before="78" w:line="320" w:lineRule="exact"/>
              <w:jc w:val="center"/>
              <w:textAlignment w:val="auto"/>
              <w:rPr>
                <w:rFonts w:hint="eastAsia" w:ascii="仿宋_GB2312" w:hAnsi="仿宋_GB2312" w:eastAsia="仿宋_GB2312" w:cs="仿宋_GB2312"/>
                <w:snapToGrid w:val="0"/>
                <w:color w:val="000000"/>
                <w:kern w:val="0"/>
                <w:sz w:val="30"/>
                <w:szCs w:val="30"/>
                <w:lang w:val="en-US" w:eastAsia="zh-CN" w:bidi="ar-SA"/>
              </w:rPr>
            </w:pPr>
            <w:r>
              <w:rPr>
                <w:rFonts w:hint="eastAsia" w:ascii="仿宋_GB2312" w:hAnsi="仿宋_GB2312" w:eastAsia="仿宋_GB2312" w:cs="仿宋_GB2312"/>
                <w:b/>
                <w:bCs/>
                <w:snapToGrid w:val="0"/>
                <w:color w:val="000000"/>
                <w:kern w:val="0"/>
                <w:sz w:val="30"/>
                <w:szCs w:val="30"/>
                <w:lang w:val="en-US" w:eastAsia="zh-CN" w:bidi="ar-SA"/>
              </w:rPr>
              <w:t>基础条件</w:t>
            </w:r>
            <w:r>
              <w:rPr>
                <w:rFonts w:hint="eastAsia" w:ascii="仿宋_GB2312" w:hAnsi="仿宋_GB2312" w:eastAsia="仿宋_GB2312" w:cs="仿宋_GB2312"/>
                <w:b/>
                <w:bCs/>
                <w:snapToGrid w:val="0"/>
                <w:color w:val="000000"/>
                <w:kern w:val="0"/>
                <w:sz w:val="30"/>
                <w:szCs w:val="30"/>
                <w:lang w:val="en-US" w:eastAsia="en-US" w:bidi="ar-SA"/>
              </w:rPr>
              <w:t>评分（满分</w:t>
            </w:r>
            <w:r>
              <w:rPr>
                <w:rFonts w:hint="eastAsia" w:ascii="仿宋_GB2312" w:hAnsi="仿宋_GB2312" w:eastAsia="仿宋_GB2312" w:cs="仿宋_GB2312"/>
                <w:b/>
                <w:bCs/>
                <w:snapToGrid w:val="0"/>
                <w:color w:val="000000"/>
                <w:kern w:val="0"/>
                <w:sz w:val="30"/>
                <w:szCs w:val="30"/>
                <w:lang w:val="en-US" w:eastAsia="zh-CN" w:bidi="ar-SA"/>
              </w:rPr>
              <w:t>40</w:t>
            </w:r>
            <w:r>
              <w:rPr>
                <w:rFonts w:hint="eastAsia" w:ascii="仿宋_GB2312" w:hAnsi="仿宋_GB2312" w:eastAsia="仿宋_GB2312" w:cs="仿宋_GB2312"/>
                <w:b/>
                <w:bCs/>
                <w:snapToGrid w:val="0"/>
                <w:color w:val="000000"/>
                <w:kern w:val="0"/>
                <w:sz w:val="30"/>
                <w:szCs w:val="30"/>
                <w:lang w:val="en-US" w:eastAsia="en-US" w:bidi="ar-SA"/>
              </w:rPr>
              <w:t>分）</w:t>
            </w:r>
          </w:p>
        </w:tc>
      </w:tr>
      <w:tr w14:paraId="49D6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1503" w:type="pct"/>
            <w:noWrap w:val="0"/>
            <w:vAlign w:val="top"/>
          </w:tcPr>
          <w:p w14:paraId="5430E058">
            <w:pPr>
              <w:pStyle w:val="9"/>
              <w:keepNext w:val="0"/>
              <w:keepLines w:val="0"/>
              <w:pageBreakBefore w:val="0"/>
              <w:widowControl/>
              <w:kinsoku/>
              <w:wordWrap/>
              <w:overflowPunct/>
              <w:topLinePunct w:val="0"/>
              <w:autoSpaceDE/>
              <w:autoSpaceDN/>
              <w:bidi w:val="0"/>
              <w:adjustRightInd/>
              <w:snapToGrid/>
              <w:spacing w:before="78" w:line="320" w:lineRule="exact"/>
              <w:ind w:left="111" w:right="118" w:firstLine="2"/>
              <w:jc w:val="center"/>
              <w:textAlignment w:val="auto"/>
              <w:rPr>
                <w:rFonts w:hint="default"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是否具有固定办公场所</w:t>
            </w:r>
            <w:r>
              <w:rPr>
                <w:rFonts w:hint="eastAsia" w:ascii="仿宋_GB2312" w:hAnsi="仿宋_GB2312" w:eastAsia="仿宋_GB2312" w:cs="仿宋_GB2312"/>
                <w:b w:val="0"/>
                <w:bCs w:val="0"/>
                <w:kern w:val="2"/>
                <w:sz w:val="30"/>
                <w:szCs w:val="30"/>
                <w:lang w:val="en-US" w:eastAsia="en-US" w:bidi="ar-SA"/>
              </w:rPr>
              <w:t>（满分</w:t>
            </w:r>
            <w:r>
              <w:rPr>
                <w:rFonts w:hint="eastAsia" w:ascii="仿宋_GB2312" w:hAnsi="仿宋_GB2312" w:eastAsia="仿宋_GB2312" w:cs="仿宋_GB2312"/>
                <w:b w:val="0"/>
                <w:bCs w:val="0"/>
                <w:kern w:val="2"/>
                <w:sz w:val="30"/>
                <w:szCs w:val="30"/>
                <w:lang w:val="en-US" w:eastAsia="zh-CN" w:bidi="ar-SA"/>
              </w:rPr>
              <w:t>10</w:t>
            </w:r>
            <w:r>
              <w:rPr>
                <w:rFonts w:hint="eastAsia" w:ascii="仿宋_GB2312" w:hAnsi="仿宋_GB2312" w:eastAsia="仿宋_GB2312" w:cs="仿宋_GB2312"/>
                <w:b w:val="0"/>
                <w:bCs w:val="0"/>
                <w:kern w:val="2"/>
                <w:sz w:val="30"/>
                <w:szCs w:val="30"/>
                <w:lang w:val="en-US" w:eastAsia="en-US" w:bidi="ar-SA"/>
              </w:rPr>
              <w:t>分）</w:t>
            </w:r>
          </w:p>
        </w:tc>
        <w:tc>
          <w:tcPr>
            <w:tcW w:w="3496" w:type="pct"/>
            <w:gridSpan w:val="3"/>
            <w:noWrap w:val="0"/>
            <w:vAlign w:val="center"/>
          </w:tcPr>
          <w:p w14:paraId="42E990FA">
            <w:pPr>
              <w:pStyle w:val="9"/>
              <w:keepNext w:val="0"/>
              <w:keepLines w:val="0"/>
              <w:pageBreakBefore w:val="0"/>
              <w:widowControl/>
              <w:kinsoku/>
              <w:wordWrap/>
              <w:overflowPunct/>
              <w:topLinePunct w:val="0"/>
              <w:autoSpaceDE/>
              <w:autoSpaceDN/>
              <w:bidi w:val="0"/>
              <w:adjustRightInd/>
              <w:snapToGrid/>
              <w:spacing w:before="78" w:line="320" w:lineRule="exact"/>
              <w:jc w:val="left"/>
              <w:textAlignment w:val="auto"/>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提供固定办公场所图片。具有固定办公场所得10分，未提供印证资料不得分。</w:t>
            </w:r>
          </w:p>
        </w:tc>
      </w:tr>
      <w:tr w14:paraId="78D74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1503" w:type="pct"/>
            <w:noWrap w:val="0"/>
            <w:vAlign w:val="top"/>
          </w:tcPr>
          <w:p w14:paraId="4C6C12F2">
            <w:pPr>
              <w:pStyle w:val="9"/>
              <w:keepNext w:val="0"/>
              <w:keepLines w:val="0"/>
              <w:pageBreakBefore w:val="0"/>
              <w:widowControl/>
              <w:kinsoku/>
              <w:wordWrap/>
              <w:overflowPunct/>
              <w:topLinePunct w:val="0"/>
              <w:autoSpaceDE/>
              <w:autoSpaceDN/>
              <w:bidi w:val="0"/>
              <w:adjustRightInd/>
              <w:snapToGrid/>
              <w:spacing w:before="78" w:line="320" w:lineRule="exact"/>
              <w:ind w:right="118"/>
              <w:jc w:val="center"/>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是否具有开展畜牧兽医服务所需的设施设备</w:t>
            </w:r>
          </w:p>
          <w:p w14:paraId="502C9C42">
            <w:pPr>
              <w:pStyle w:val="9"/>
              <w:keepNext w:val="0"/>
              <w:keepLines w:val="0"/>
              <w:pageBreakBefore w:val="0"/>
              <w:widowControl/>
              <w:kinsoku/>
              <w:wordWrap/>
              <w:overflowPunct/>
              <w:topLinePunct w:val="0"/>
              <w:autoSpaceDE/>
              <w:autoSpaceDN/>
              <w:bidi w:val="0"/>
              <w:adjustRightInd/>
              <w:snapToGrid/>
              <w:spacing w:before="78" w:line="320" w:lineRule="exact"/>
              <w:ind w:left="111" w:right="118" w:firstLine="2"/>
              <w:jc w:val="center"/>
              <w:textAlignment w:val="auto"/>
              <w:rPr>
                <w:rFonts w:hint="default"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（满分20分）</w:t>
            </w:r>
          </w:p>
        </w:tc>
        <w:tc>
          <w:tcPr>
            <w:tcW w:w="3496" w:type="pct"/>
            <w:gridSpan w:val="3"/>
            <w:noWrap w:val="0"/>
            <w:vAlign w:val="center"/>
          </w:tcPr>
          <w:p w14:paraId="43E42963">
            <w:pPr>
              <w:pStyle w:val="9"/>
              <w:keepNext w:val="0"/>
              <w:keepLines w:val="0"/>
              <w:pageBreakBefore w:val="0"/>
              <w:widowControl/>
              <w:kinsoku/>
              <w:wordWrap/>
              <w:overflowPunct/>
              <w:topLinePunct w:val="0"/>
              <w:autoSpaceDE/>
              <w:autoSpaceDN/>
              <w:bidi w:val="0"/>
              <w:adjustRightInd/>
              <w:snapToGrid/>
              <w:spacing w:before="78" w:line="320" w:lineRule="exact"/>
              <w:jc w:val="left"/>
              <w:textAlignment w:val="auto"/>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提供设施设备清单及实物图片。设施设备包括但不限于办公电脑、打印机、冰箱、冰柜、冷库、吸粪车、清洗消毒机、喷雾器等。有1台设施设备得2分，最高上限20分，未提供印证资料不得分。</w:t>
            </w:r>
          </w:p>
        </w:tc>
      </w:tr>
      <w:tr w14:paraId="507A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1503" w:type="pct"/>
            <w:noWrap w:val="0"/>
            <w:vAlign w:val="center"/>
          </w:tcPr>
          <w:p w14:paraId="6DA8A327">
            <w:pPr>
              <w:pStyle w:val="9"/>
              <w:keepNext w:val="0"/>
              <w:keepLines w:val="0"/>
              <w:pageBreakBefore w:val="0"/>
              <w:widowControl/>
              <w:kinsoku/>
              <w:wordWrap/>
              <w:overflowPunct/>
              <w:topLinePunct w:val="0"/>
              <w:autoSpaceDE/>
              <w:autoSpaceDN/>
              <w:bidi w:val="0"/>
              <w:adjustRightInd/>
              <w:snapToGrid/>
              <w:spacing w:before="78" w:line="320" w:lineRule="exact"/>
              <w:ind w:left="111" w:right="118" w:firstLine="2"/>
              <w:jc w:val="center"/>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是否有完善的内部管理和监督制度</w:t>
            </w:r>
          </w:p>
          <w:p w14:paraId="190F52F2">
            <w:pPr>
              <w:pStyle w:val="9"/>
              <w:keepNext w:val="0"/>
              <w:keepLines w:val="0"/>
              <w:pageBreakBefore w:val="0"/>
              <w:widowControl/>
              <w:kinsoku/>
              <w:wordWrap/>
              <w:overflowPunct/>
              <w:topLinePunct w:val="0"/>
              <w:autoSpaceDE/>
              <w:autoSpaceDN/>
              <w:bidi w:val="0"/>
              <w:adjustRightInd/>
              <w:snapToGrid/>
              <w:spacing w:before="78" w:line="320" w:lineRule="exact"/>
              <w:ind w:left="111" w:right="118" w:firstLine="2"/>
              <w:jc w:val="center"/>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en-US" w:bidi="ar-SA"/>
              </w:rPr>
              <w:t>（满分</w:t>
            </w:r>
            <w:r>
              <w:rPr>
                <w:rFonts w:hint="eastAsia" w:ascii="仿宋_GB2312" w:hAnsi="仿宋_GB2312" w:eastAsia="仿宋_GB2312" w:cs="仿宋_GB2312"/>
                <w:b w:val="0"/>
                <w:bCs w:val="0"/>
                <w:kern w:val="2"/>
                <w:sz w:val="30"/>
                <w:szCs w:val="30"/>
                <w:lang w:val="en-US" w:eastAsia="zh-CN" w:bidi="ar-SA"/>
              </w:rPr>
              <w:t>10</w:t>
            </w:r>
            <w:r>
              <w:rPr>
                <w:rFonts w:hint="eastAsia" w:ascii="仿宋_GB2312" w:hAnsi="仿宋_GB2312" w:eastAsia="仿宋_GB2312" w:cs="仿宋_GB2312"/>
                <w:b w:val="0"/>
                <w:bCs w:val="0"/>
                <w:kern w:val="2"/>
                <w:sz w:val="30"/>
                <w:szCs w:val="30"/>
                <w:lang w:val="en-US" w:eastAsia="en-US" w:bidi="ar-SA"/>
              </w:rPr>
              <w:t>分）</w:t>
            </w:r>
          </w:p>
        </w:tc>
        <w:tc>
          <w:tcPr>
            <w:tcW w:w="3496" w:type="pct"/>
            <w:gridSpan w:val="3"/>
            <w:noWrap w:val="0"/>
            <w:vAlign w:val="center"/>
          </w:tcPr>
          <w:p w14:paraId="370ECF1D">
            <w:pPr>
              <w:pStyle w:val="9"/>
              <w:keepNext w:val="0"/>
              <w:keepLines w:val="0"/>
              <w:pageBreakBefore w:val="0"/>
              <w:widowControl/>
              <w:kinsoku/>
              <w:wordWrap/>
              <w:overflowPunct/>
              <w:topLinePunct w:val="0"/>
              <w:autoSpaceDE/>
              <w:autoSpaceDN/>
              <w:bidi w:val="0"/>
              <w:adjustRightInd/>
              <w:snapToGrid/>
              <w:spacing w:before="78" w:line="320" w:lineRule="exact"/>
              <w:ind w:left="111" w:leftChars="0" w:right="118" w:rightChars="0" w:firstLine="2" w:firstLineChars="0"/>
              <w:jc w:val="left"/>
              <w:textAlignment w:val="auto"/>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color w:val="auto"/>
                <w:kern w:val="2"/>
                <w:sz w:val="28"/>
                <w:szCs w:val="28"/>
                <w:highlight w:val="none"/>
                <w:lang w:val="en-US" w:eastAsia="zh-CN" w:bidi="ar-SA"/>
              </w:rPr>
              <w:t>提供制度复印件或制度上墙图片。内部管理和监督制度</w:t>
            </w:r>
            <w:r>
              <w:rPr>
                <w:rFonts w:hint="eastAsia" w:ascii="仿宋_GB2312" w:hAnsi="仿宋_GB2312" w:eastAsia="仿宋_GB2312" w:cs="仿宋_GB2312"/>
                <w:snapToGrid w:val="0"/>
                <w:color w:val="000000"/>
                <w:kern w:val="0"/>
                <w:sz w:val="28"/>
                <w:szCs w:val="28"/>
                <w:lang w:val="en-US" w:eastAsia="en-US" w:bidi="ar-SA"/>
              </w:rPr>
              <w:t>包含但不限于</w:t>
            </w:r>
            <w:r>
              <w:rPr>
                <w:rFonts w:hint="eastAsia" w:ascii="仿宋_GB2312" w:hAnsi="仿宋_GB2312" w:eastAsia="仿宋_GB2312" w:cs="仿宋_GB2312"/>
                <w:b/>
                <w:bCs/>
                <w:snapToGrid w:val="0"/>
                <w:color w:val="000000"/>
                <w:kern w:val="0"/>
                <w:sz w:val="28"/>
                <w:szCs w:val="28"/>
                <w:lang w:val="en-US" w:eastAsia="en-US" w:bidi="ar-SA"/>
              </w:rPr>
              <w:t>质量控制制度</w:t>
            </w:r>
            <w:r>
              <w:rPr>
                <w:rFonts w:hint="eastAsia" w:ascii="仿宋_GB2312" w:hAnsi="仿宋_GB2312" w:eastAsia="仿宋_GB2312" w:cs="仿宋_GB2312"/>
                <w:snapToGrid w:val="0"/>
                <w:color w:val="000000"/>
                <w:kern w:val="0"/>
                <w:sz w:val="28"/>
                <w:szCs w:val="28"/>
                <w:lang w:val="en-US" w:eastAsia="en-US" w:bidi="ar-SA"/>
              </w:rPr>
              <w:t>、</w:t>
            </w:r>
            <w:r>
              <w:rPr>
                <w:rFonts w:hint="eastAsia" w:ascii="仿宋_GB2312" w:hAnsi="仿宋_GB2312" w:eastAsia="仿宋_GB2312" w:cs="仿宋_GB2312"/>
                <w:b/>
                <w:bCs/>
                <w:snapToGrid w:val="0"/>
                <w:color w:val="000000"/>
                <w:kern w:val="0"/>
                <w:sz w:val="28"/>
                <w:szCs w:val="28"/>
                <w:lang w:val="en-US" w:eastAsia="en-US" w:bidi="ar-SA"/>
              </w:rPr>
              <w:t>风险控制制度</w:t>
            </w:r>
            <w:r>
              <w:rPr>
                <w:rFonts w:hint="eastAsia" w:ascii="仿宋_GB2312" w:hAnsi="仿宋_GB2312" w:eastAsia="仿宋_GB2312" w:cs="仿宋_GB2312"/>
                <w:snapToGrid w:val="0"/>
                <w:color w:val="000000"/>
                <w:kern w:val="0"/>
                <w:sz w:val="28"/>
                <w:szCs w:val="28"/>
                <w:lang w:val="en-US" w:eastAsia="en-US" w:bidi="ar-SA"/>
              </w:rPr>
              <w:t>、</w:t>
            </w:r>
            <w:r>
              <w:rPr>
                <w:rFonts w:hint="eastAsia" w:ascii="仿宋_GB2312" w:hAnsi="仿宋_GB2312" w:eastAsia="仿宋_GB2312" w:cs="仿宋_GB2312"/>
                <w:b/>
                <w:bCs/>
                <w:snapToGrid w:val="0"/>
                <w:color w:val="000000"/>
                <w:kern w:val="0"/>
                <w:sz w:val="28"/>
                <w:szCs w:val="28"/>
                <w:lang w:val="en-US" w:eastAsia="en-US" w:bidi="ar-SA"/>
              </w:rPr>
              <w:t>财务管理制度</w:t>
            </w:r>
            <w:r>
              <w:rPr>
                <w:rFonts w:hint="eastAsia" w:ascii="仿宋_GB2312" w:hAnsi="仿宋_GB2312" w:eastAsia="仿宋_GB2312" w:cs="仿宋_GB2312"/>
                <w:snapToGrid w:val="0"/>
                <w:color w:val="000000"/>
                <w:kern w:val="0"/>
                <w:sz w:val="28"/>
                <w:szCs w:val="28"/>
                <w:lang w:val="en-US" w:eastAsia="en-US" w:bidi="ar-SA"/>
              </w:rPr>
              <w:t>、</w:t>
            </w:r>
            <w:r>
              <w:rPr>
                <w:rFonts w:hint="eastAsia" w:ascii="仿宋_GB2312" w:hAnsi="仿宋_GB2312" w:eastAsia="仿宋_GB2312" w:cs="仿宋_GB2312"/>
                <w:b/>
                <w:bCs/>
                <w:snapToGrid w:val="0"/>
                <w:color w:val="000000"/>
                <w:kern w:val="0"/>
                <w:sz w:val="28"/>
                <w:szCs w:val="28"/>
                <w:highlight w:val="none"/>
                <w:lang w:val="en-US" w:eastAsia="en-US" w:bidi="ar-SA"/>
              </w:rPr>
              <w:t>人事管理制度</w:t>
            </w:r>
            <w:r>
              <w:rPr>
                <w:rFonts w:hint="eastAsia" w:ascii="仿宋_GB2312" w:hAnsi="仿宋_GB2312" w:eastAsia="仿宋_GB2312" w:cs="仿宋_GB2312"/>
                <w:snapToGrid w:val="0"/>
                <w:color w:val="000000"/>
                <w:kern w:val="0"/>
                <w:sz w:val="28"/>
                <w:szCs w:val="28"/>
                <w:lang w:val="en-US" w:eastAsia="en-US" w:bidi="ar-SA"/>
              </w:rPr>
              <w:t>、</w:t>
            </w:r>
            <w:r>
              <w:rPr>
                <w:rFonts w:hint="eastAsia" w:ascii="仿宋_GB2312" w:hAnsi="仿宋_GB2312" w:eastAsia="仿宋_GB2312" w:cs="仿宋_GB2312"/>
                <w:b/>
                <w:bCs/>
                <w:snapToGrid w:val="0"/>
                <w:color w:val="000000"/>
                <w:kern w:val="0"/>
                <w:sz w:val="28"/>
                <w:szCs w:val="28"/>
                <w:lang w:val="en-US" w:eastAsia="en-US" w:bidi="ar-SA"/>
              </w:rPr>
              <w:t>档案管理制度</w:t>
            </w:r>
            <w:r>
              <w:rPr>
                <w:rFonts w:hint="eastAsia" w:ascii="仿宋_GB2312" w:hAnsi="仿宋_GB2312" w:eastAsia="仿宋_GB2312" w:cs="仿宋_GB2312"/>
                <w:snapToGrid w:val="0"/>
                <w:color w:val="000000"/>
                <w:kern w:val="0"/>
                <w:sz w:val="28"/>
                <w:szCs w:val="28"/>
                <w:lang w:val="en-US" w:eastAsia="en-US" w:bidi="ar-SA"/>
              </w:rPr>
              <w:t>等。</w:t>
            </w:r>
            <w:r>
              <w:rPr>
                <w:rFonts w:hint="eastAsia" w:ascii="仿宋_GB2312" w:hAnsi="仿宋_GB2312" w:eastAsia="仿宋_GB2312" w:cs="仿宋_GB2312"/>
                <w:snapToGrid w:val="0"/>
                <w:color w:val="000000"/>
                <w:kern w:val="0"/>
                <w:sz w:val="28"/>
                <w:szCs w:val="28"/>
                <w:lang w:val="en-US" w:eastAsia="zh-CN" w:bidi="ar-SA"/>
              </w:rPr>
              <w:t>有1项制度得2分，最高上限10分，未提供印证资料不得分。</w:t>
            </w:r>
          </w:p>
        </w:tc>
      </w:tr>
      <w:tr w14:paraId="4E49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5000" w:type="pct"/>
            <w:gridSpan w:val="4"/>
            <w:noWrap w:val="0"/>
            <w:vAlign w:val="top"/>
          </w:tcPr>
          <w:p w14:paraId="6F86335E">
            <w:pPr>
              <w:pStyle w:val="9"/>
              <w:keepNext w:val="0"/>
              <w:keepLines w:val="0"/>
              <w:pageBreakBefore w:val="0"/>
              <w:widowControl/>
              <w:kinsoku/>
              <w:wordWrap/>
              <w:overflowPunct/>
              <w:topLinePunct w:val="0"/>
              <w:autoSpaceDE/>
              <w:autoSpaceDN/>
              <w:bidi w:val="0"/>
              <w:adjustRightInd/>
              <w:snapToGrid/>
              <w:spacing w:before="112" w:line="320" w:lineRule="exact"/>
              <w:jc w:val="center"/>
              <w:textAlignment w:val="auto"/>
              <w:rPr>
                <w:rFonts w:hint="eastAsia" w:ascii="仿宋_GB2312" w:hAnsi="仿宋_GB2312" w:eastAsia="仿宋_GB2312" w:cs="仿宋_GB2312"/>
                <w:snapToGrid w:val="0"/>
                <w:color w:val="000000"/>
                <w:kern w:val="0"/>
                <w:sz w:val="30"/>
                <w:szCs w:val="30"/>
                <w:lang w:val="en-US" w:eastAsia="en-US" w:bidi="ar-SA"/>
              </w:rPr>
            </w:pPr>
            <w:r>
              <w:rPr>
                <w:rFonts w:hint="eastAsia" w:ascii="仿宋_GB2312" w:hAnsi="仿宋_GB2312" w:eastAsia="仿宋_GB2312" w:cs="仿宋_GB2312"/>
                <w:b/>
                <w:bCs/>
                <w:snapToGrid w:val="0"/>
                <w:color w:val="000000"/>
                <w:kern w:val="0"/>
                <w:sz w:val="30"/>
                <w:szCs w:val="30"/>
                <w:lang w:val="en-US" w:eastAsia="en-US" w:bidi="ar-SA"/>
              </w:rPr>
              <w:t>技术</w:t>
            </w:r>
            <w:r>
              <w:rPr>
                <w:rFonts w:hint="eastAsia" w:ascii="仿宋_GB2312" w:hAnsi="仿宋_GB2312" w:eastAsia="仿宋_GB2312" w:cs="仿宋_GB2312"/>
                <w:b/>
                <w:bCs/>
                <w:snapToGrid w:val="0"/>
                <w:color w:val="000000"/>
                <w:kern w:val="0"/>
                <w:sz w:val="30"/>
                <w:szCs w:val="30"/>
                <w:lang w:val="en-US" w:eastAsia="zh-CN" w:bidi="ar-SA"/>
              </w:rPr>
              <w:t>评分</w:t>
            </w:r>
            <w:r>
              <w:rPr>
                <w:rFonts w:hint="eastAsia" w:ascii="仿宋_GB2312" w:hAnsi="仿宋_GB2312" w:eastAsia="仿宋_GB2312" w:cs="仿宋_GB2312"/>
                <w:b/>
                <w:bCs/>
                <w:snapToGrid w:val="0"/>
                <w:color w:val="000000"/>
                <w:kern w:val="0"/>
                <w:sz w:val="30"/>
                <w:szCs w:val="30"/>
                <w:lang w:val="en-US" w:eastAsia="en-US" w:bidi="ar-SA"/>
              </w:rPr>
              <w:t>（满分</w:t>
            </w:r>
            <w:r>
              <w:rPr>
                <w:rFonts w:hint="eastAsia" w:ascii="仿宋_GB2312" w:hAnsi="仿宋_GB2312" w:eastAsia="仿宋_GB2312" w:cs="仿宋_GB2312"/>
                <w:b/>
                <w:bCs/>
                <w:snapToGrid w:val="0"/>
                <w:color w:val="000000"/>
                <w:kern w:val="0"/>
                <w:sz w:val="30"/>
                <w:szCs w:val="30"/>
                <w:lang w:val="en-US" w:eastAsia="zh-CN" w:bidi="ar-SA"/>
              </w:rPr>
              <w:t>50</w:t>
            </w:r>
            <w:r>
              <w:rPr>
                <w:rFonts w:hint="eastAsia" w:ascii="仿宋_GB2312" w:hAnsi="仿宋_GB2312" w:eastAsia="仿宋_GB2312" w:cs="仿宋_GB2312"/>
                <w:b/>
                <w:bCs/>
                <w:snapToGrid w:val="0"/>
                <w:color w:val="000000"/>
                <w:kern w:val="0"/>
                <w:sz w:val="30"/>
                <w:szCs w:val="30"/>
                <w:lang w:val="en-US" w:eastAsia="en-US" w:bidi="ar-SA"/>
              </w:rPr>
              <w:t>分）</w:t>
            </w:r>
          </w:p>
        </w:tc>
      </w:tr>
      <w:tr w14:paraId="31F5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1" w:hRule="atLeast"/>
          <w:jc w:val="center"/>
        </w:trPr>
        <w:tc>
          <w:tcPr>
            <w:tcW w:w="1503" w:type="pct"/>
            <w:noWrap w:val="0"/>
            <w:vAlign w:val="center"/>
          </w:tcPr>
          <w:p w14:paraId="0CEB737D">
            <w:pPr>
              <w:pStyle w:val="9"/>
              <w:keepNext w:val="0"/>
              <w:keepLines w:val="0"/>
              <w:pageBreakBefore w:val="0"/>
              <w:widowControl/>
              <w:kinsoku/>
              <w:wordWrap/>
              <w:overflowPunct/>
              <w:topLinePunct w:val="0"/>
              <w:autoSpaceDE/>
              <w:autoSpaceDN/>
              <w:bidi w:val="0"/>
              <w:adjustRightInd/>
              <w:snapToGrid/>
              <w:spacing w:before="78" w:line="320" w:lineRule="exact"/>
              <w:ind w:left="111" w:right="118" w:firstLine="2"/>
              <w:jc w:val="center"/>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服务</w:t>
            </w:r>
            <w:r>
              <w:rPr>
                <w:rFonts w:hint="eastAsia" w:ascii="仿宋_GB2312" w:hAnsi="仿宋_GB2312" w:eastAsia="仿宋_GB2312" w:cs="仿宋_GB2312"/>
                <w:b w:val="0"/>
                <w:bCs w:val="0"/>
                <w:kern w:val="2"/>
                <w:sz w:val="30"/>
                <w:szCs w:val="30"/>
                <w:lang w:val="en-US" w:eastAsia="zh-CN"/>
              </w:rPr>
              <w:t>组织</w:t>
            </w:r>
            <w:r>
              <w:rPr>
                <w:rFonts w:hint="eastAsia" w:ascii="仿宋_GB2312" w:hAnsi="仿宋_GB2312" w:eastAsia="仿宋_GB2312" w:cs="仿宋_GB2312"/>
                <w:b w:val="0"/>
                <w:bCs w:val="0"/>
                <w:kern w:val="2"/>
                <w:sz w:val="30"/>
                <w:szCs w:val="30"/>
                <w:lang w:val="en-US" w:eastAsia="zh-CN" w:bidi="ar-SA"/>
              </w:rPr>
              <w:t>针对本项目拟定的服务方案</w:t>
            </w:r>
          </w:p>
          <w:p w14:paraId="4186957E">
            <w:pPr>
              <w:pStyle w:val="9"/>
              <w:keepNext w:val="0"/>
              <w:keepLines w:val="0"/>
              <w:pageBreakBefore w:val="0"/>
              <w:widowControl/>
              <w:kinsoku/>
              <w:wordWrap/>
              <w:overflowPunct/>
              <w:topLinePunct w:val="0"/>
              <w:autoSpaceDE/>
              <w:autoSpaceDN/>
              <w:bidi w:val="0"/>
              <w:adjustRightInd/>
              <w:snapToGrid/>
              <w:spacing w:before="78" w:line="320" w:lineRule="exact"/>
              <w:ind w:left="111" w:right="118" w:firstLine="2"/>
              <w:jc w:val="center"/>
              <w:textAlignment w:val="auto"/>
              <w:rPr>
                <w:rFonts w:hint="eastAsia" w:ascii="仿宋_GB2312" w:hAnsi="仿宋_GB2312" w:eastAsia="仿宋_GB2312" w:cs="仿宋_GB2312"/>
                <w:snapToGrid w:val="0"/>
                <w:color w:val="000000"/>
                <w:kern w:val="0"/>
                <w:sz w:val="30"/>
                <w:szCs w:val="30"/>
                <w:lang w:val="en-US" w:eastAsia="en-US" w:bidi="ar-SA"/>
              </w:rPr>
            </w:pPr>
            <w:r>
              <w:rPr>
                <w:rFonts w:hint="eastAsia" w:ascii="仿宋_GB2312" w:hAnsi="仿宋_GB2312" w:eastAsia="仿宋_GB2312" w:cs="仿宋_GB2312"/>
                <w:snapToGrid w:val="0"/>
                <w:color w:val="000000"/>
                <w:kern w:val="0"/>
                <w:sz w:val="30"/>
                <w:szCs w:val="30"/>
                <w:lang w:val="en-US" w:eastAsia="en-US" w:bidi="ar-SA"/>
              </w:rPr>
              <w:t>（满分</w:t>
            </w:r>
            <w:r>
              <w:rPr>
                <w:rFonts w:hint="eastAsia" w:ascii="仿宋_GB2312" w:hAnsi="仿宋_GB2312" w:eastAsia="仿宋_GB2312" w:cs="仿宋_GB2312"/>
                <w:snapToGrid w:val="0"/>
                <w:color w:val="000000"/>
                <w:kern w:val="0"/>
                <w:sz w:val="30"/>
                <w:szCs w:val="30"/>
                <w:lang w:val="en-US" w:eastAsia="zh-CN" w:bidi="ar-SA"/>
              </w:rPr>
              <w:t>20</w:t>
            </w:r>
            <w:r>
              <w:rPr>
                <w:rFonts w:hint="eastAsia" w:ascii="仿宋_GB2312" w:hAnsi="仿宋_GB2312" w:eastAsia="仿宋_GB2312" w:cs="仿宋_GB2312"/>
                <w:snapToGrid w:val="0"/>
                <w:color w:val="000000"/>
                <w:kern w:val="0"/>
                <w:sz w:val="30"/>
                <w:szCs w:val="30"/>
                <w:lang w:val="en-US" w:eastAsia="en-US" w:bidi="ar-SA"/>
              </w:rPr>
              <w:t>分）</w:t>
            </w:r>
          </w:p>
        </w:tc>
        <w:tc>
          <w:tcPr>
            <w:tcW w:w="3496" w:type="pct"/>
            <w:gridSpan w:val="3"/>
            <w:noWrap w:val="0"/>
            <w:vAlign w:val="center"/>
          </w:tcPr>
          <w:p w14:paraId="59CEE412">
            <w:pPr>
              <w:pStyle w:val="9"/>
              <w:keepNext w:val="0"/>
              <w:keepLines w:val="0"/>
              <w:pageBreakBefore w:val="0"/>
              <w:widowControl/>
              <w:kinsoku/>
              <w:wordWrap/>
              <w:overflowPunct/>
              <w:topLinePunct w:val="0"/>
              <w:autoSpaceDE/>
              <w:autoSpaceDN/>
              <w:bidi w:val="0"/>
              <w:adjustRightInd/>
              <w:snapToGrid/>
              <w:spacing w:before="78" w:line="320" w:lineRule="exact"/>
              <w:ind w:left="111" w:right="118" w:firstLine="2"/>
              <w:jc w:val="left"/>
              <w:textAlignment w:val="auto"/>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b w:val="0"/>
                <w:bCs w:val="0"/>
                <w:kern w:val="2"/>
                <w:sz w:val="28"/>
                <w:szCs w:val="28"/>
                <w:lang w:val="en-US" w:eastAsia="zh-CN" w:bidi="ar-SA"/>
              </w:rPr>
              <w:t>提供针对本项目拟定的服务方案。服务</w:t>
            </w:r>
            <w:r>
              <w:rPr>
                <w:rFonts w:hint="eastAsia" w:ascii="仿宋_GB2312" w:hAnsi="仿宋_GB2312" w:eastAsia="仿宋_GB2312" w:cs="仿宋_GB2312"/>
                <w:b w:val="0"/>
                <w:bCs w:val="0"/>
                <w:kern w:val="2"/>
                <w:sz w:val="28"/>
                <w:szCs w:val="28"/>
                <w:lang w:val="en-US" w:eastAsia="en-US" w:bidi="ar-SA"/>
              </w:rPr>
              <w:t>方案包括但不限于</w:t>
            </w:r>
            <w:r>
              <w:rPr>
                <w:rFonts w:hint="eastAsia" w:ascii="仿宋_GB2312" w:hAnsi="仿宋_GB2312" w:eastAsia="仿宋_GB2312" w:cs="仿宋_GB2312"/>
                <w:b/>
                <w:bCs/>
                <w:kern w:val="2"/>
                <w:sz w:val="28"/>
                <w:szCs w:val="28"/>
                <w:lang w:val="en-US" w:eastAsia="en-US" w:bidi="ar-SA"/>
              </w:rPr>
              <w:t>服务项目</w:t>
            </w:r>
            <w:r>
              <w:rPr>
                <w:rFonts w:hint="eastAsia" w:ascii="仿宋_GB2312" w:hAnsi="仿宋_GB2312" w:eastAsia="仿宋_GB2312" w:cs="仿宋_GB2312"/>
                <w:b w:val="0"/>
                <w:bCs w:val="0"/>
                <w:kern w:val="2"/>
                <w:sz w:val="28"/>
                <w:szCs w:val="28"/>
                <w:lang w:val="en-US" w:eastAsia="en-US" w:bidi="ar-SA"/>
              </w:rPr>
              <w:t>、服务范围、服务方式、收费标准等</w:t>
            </w:r>
            <w:r>
              <w:rPr>
                <w:rFonts w:hint="eastAsia" w:ascii="仿宋_GB2312" w:hAnsi="仿宋_GB2312" w:eastAsia="仿宋_GB2312" w:cs="仿宋_GB2312"/>
                <w:b w:val="0"/>
                <w:bCs w:val="0"/>
                <w:kern w:val="2"/>
                <w:sz w:val="28"/>
                <w:szCs w:val="28"/>
                <w:lang w:val="en-US" w:eastAsia="zh-CN" w:bidi="ar-SA"/>
              </w:rPr>
              <w:t>内容</w:t>
            </w:r>
            <w:r>
              <w:rPr>
                <w:rFonts w:hint="eastAsia" w:ascii="仿宋_GB2312" w:hAnsi="仿宋_GB2312" w:eastAsia="仿宋_GB2312" w:cs="仿宋_GB2312"/>
                <w:b w:val="0"/>
                <w:bCs w:val="0"/>
                <w:kern w:val="2"/>
                <w:sz w:val="28"/>
                <w:szCs w:val="28"/>
                <w:lang w:val="en-US" w:eastAsia="en-US" w:bidi="ar-SA"/>
              </w:rPr>
              <w:t>。</w:t>
            </w:r>
            <w:r>
              <w:rPr>
                <w:rFonts w:hint="eastAsia" w:ascii="仿宋_GB2312" w:hAnsi="仿宋_GB2312" w:eastAsia="仿宋_GB2312" w:cs="仿宋_GB2312"/>
                <w:b w:val="0"/>
                <w:bCs w:val="0"/>
                <w:kern w:val="2"/>
                <w:sz w:val="28"/>
                <w:szCs w:val="28"/>
                <w:lang w:val="en-US" w:eastAsia="zh-CN" w:bidi="ar-SA"/>
              </w:rPr>
              <w:t>服务项目参照服务内容列示，有1项服务项目得2分；</w:t>
            </w:r>
            <w:r>
              <w:rPr>
                <w:rFonts w:hint="eastAsia" w:ascii="仿宋_GB2312" w:hAnsi="仿宋_GB2312" w:eastAsia="仿宋_GB2312" w:cs="仿宋_GB2312"/>
                <w:b w:val="0"/>
                <w:bCs w:val="0"/>
                <w:kern w:val="2"/>
                <w:sz w:val="28"/>
                <w:szCs w:val="28"/>
                <w:lang w:val="en-US" w:eastAsia="en-US" w:bidi="ar-SA"/>
              </w:rPr>
              <w:t>未提供</w:t>
            </w:r>
            <w:r>
              <w:rPr>
                <w:rFonts w:hint="eastAsia" w:ascii="仿宋_GB2312" w:hAnsi="仿宋_GB2312" w:eastAsia="仿宋_GB2312" w:cs="仿宋_GB2312"/>
                <w:b w:val="0"/>
                <w:bCs w:val="0"/>
                <w:kern w:val="2"/>
                <w:sz w:val="28"/>
                <w:szCs w:val="28"/>
                <w:lang w:val="en-US" w:eastAsia="zh-CN" w:bidi="ar-SA"/>
              </w:rPr>
              <w:t>服务方案的</w:t>
            </w:r>
            <w:r>
              <w:rPr>
                <w:rFonts w:hint="eastAsia" w:ascii="仿宋_GB2312" w:hAnsi="仿宋_GB2312" w:eastAsia="仿宋_GB2312" w:cs="仿宋_GB2312"/>
                <w:b w:val="0"/>
                <w:bCs w:val="0"/>
                <w:kern w:val="2"/>
                <w:sz w:val="28"/>
                <w:szCs w:val="28"/>
                <w:lang w:val="en-US" w:eastAsia="en-US" w:bidi="ar-SA"/>
              </w:rPr>
              <w:t>不得分</w:t>
            </w:r>
            <w:r>
              <w:rPr>
                <w:rFonts w:hint="eastAsia" w:ascii="仿宋_GB2312" w:hAnsi="仿宋_GB2312" w:eastAsia="仿宋_GB2312" w:cs="仿宋_GB2312"/>
                <w:b w:val="0"/>
                <w:bCs w:val="0"/>
                <w:kern w:val="2"/>
                <w:sz w:val="28"/>
                <w:szCs w:val="28"/>
                <w:lang w:val="en-US" w:eastAsia="zh-CN" w:bidi="ar-SA"/>
              </w:rPr>
              <w:t>，本项最高上限20分。</w:t>
            </w:r>
          </w:p>
        </w:tc>
      </w:tr>
      <w:tr w14:paraId="0AB1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1" w:hRule="atLeast"/>
          <w:jc w:val="center"/>
        </w:trPr>
        <w:tc>
          <w:tcPr>
            <w:tcW w:w="1503" w:type="pct"/>
            <w:vMerge w:val="restart"/>
            <w:noWrap w:val="0"/>
            <w:vAlign w:val="center"/>
          </w:tcPr>
          <w:p w14:paraId="28BBB1C4">
            <w:pPr>
              <w:pStyle w:val="9"/>
              <w:keepNext w:val="0"/>
              <w:keepLines w:val="0"/>
              <w:pageBreakBefore w:val="0"/>
              <w:widowControl/>
              <w:kinsoku/>
              <w:wordWrap/>
              <w:overflowPunct/>
              <w:topLinePunct w:val="0"/>
              <w:autoSpaceDE/>
              <w:autoSpaceDN/>
              <w:bidi w:val="0"/>
              <w:adjustRightInd/>
              <w:snapToGrid/>
              <w:spacing w:before="78" w:line="320" w:lineRule="exact"/>
              <w:ind w:left="111" w:right="118" w:firstLine="2"/>
              <w:jc w:val="left"/>
              <w:textAlignment w:val="auto"/>
              <w:rPr>
                <w:rFonts w:hint="default" w:ascii="仿宋_GB2312" w:hAnsi="仿宋_GB2312" w:eastAsia="仿宋_GB2312" w:cs="仿宋_GB2312"/>
                <w:snapToGrid w:val="0"/>
                <w:color w:val="000000"/>
                <w:kern w:val="0"/>
                <w:sz w:val="30"/>
                <w:szCs w:val="30"/>
                <w:lang w:val="en-US" w:eastAsia="zh-CN" w:bidi="ar-SA"/>
              </w:rPr>
            </w:pPr>
            <w:r>
              <w:rPr>
                <w:rFonts w:hint="eastAsia" w:ascii="仿宋_GB2312" w:hAnsi="仿宋_GB2312" w:eastAsia="仿宋_GB2312" w:cs="仿宋_GB2312"/>
                <w:snapToGrid w:val="0"/>
                <w:color w:val="000000"/>
                <w:kern w:val="0"/>
                <w:sz w:val="30"/>
                <w:szCs w:val="30"/>
                <w:lang w:val="en-US" w:eastAsia="zh-CN" w:bidi="ar-SA"/>
              </w:rPr>
              <w:t>畜牧兽医专业技术人员评分（满分30分）</w:t>
            </w:r>
          </w:p>
        </w:tc>
        <w:tc>
          <w:tcPr>
            <w:tcW w:w="3496" w:type="pct"/>
            <w:gridSpan w:val="3"/>
            <w:noWrap w:val="0"/>
            <w:vAlign w:val="center"/>
          </w:tcPr>
          <w:p w14:paraId="18ADA9B6">
            <w:pPr>
              <w:pStyle w:val="9"/>
              <w:keepNext w:val="0"/>
              <w:keepLines w:val="0"/>
              <w:pageBreakBefore w:val="0"/>
              <w:widowControl/>
              <w:kinsoku/>
              <w:wordWrap/>
              <w:overflowPunct/>
              <w:topLinePunct w:val="0"/>
              <w:autoSpaceDE/>
              <w:autoSpaceDN/>
              <w:bidi w:val="0"/>
              <w:adjustRightInd/>
              <w:snapToGrid/>
              <w:spacing w:before="78" w:line="320" w:lineRule="exact"/>
              <w:ind w:left="111" w:right="118" w:firstLine="2"/>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提供本人最高学历毕业证复印件。初中学历（含）以下人员数量，1分/人；高中（中专）学历人员数量，2分/人；大专学历（含）以上人员数量，3分/人；本项最高上限20分。</w:t>
            </w:r>
          </w:p>
        </w:tc>
      </w:tr>
      <w:tr w14:paraId="7A1E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jc w:val="center"/>
        </w:trPr>
        <w:tc>
          <w:tcPr>
            <w:tcW w:w="1503" w:type="pct"/>
            <w:vMerge w:val="continue"/>
            <w:noWrap w:val="0"/>
            <w:vAlign w:val="center"/>
          </w:tcPr>
          <w:p w14:paraId="69F5F71C">
            <w:pPr>
              <w:pStyle w:val="9"/>
              <w:keepNext w:val="0"/>
              <w:keepLines w:val="0"/>
              <w:pageBreakBefore w:val="0"/>
              <w:widowControl/>
              <w:kinsoku/>
              <w:wordWrap/>
              <w:overflowPunct/>
              <w:topLinePunct w:val="0"/>
              <w:autoSpaceDE/>
              <w:autoSpaceDN/>
              <w:bidi w:val="0"/>
              <w:adjustRightInd/>
              <w:snapToGrid/>
              <w:spacing w:before="78" w:line="320" w:lineRule="exact"/>
              <w:ind w:left="111" w:right="118" w:firstLine="2"/>
              <w:jc w:val="left"/>
              <w:textAlignment w:val="auto"/>
              <w:rPr>
                <w:rFonts w:hint="eastAsia" w:ascii="仿宋_GB2312" w:hAnsi="仿宋_GB2312" w:eastAsia="仿宋_GB2312" w:cs="仿宋_GB2312"/>
                <w:snapToGrid w:val="0"/>
                <w:color w:val="000000"/>
                <w:kern w:val="0"/>
                <w:sz w:val="30"/>
                <w:szCs w:val="30"/>
                <w:lang w:val="en-US" w:eastAsia="zh-CN" w:bidi="ar-SA"/>
              </w:rPr>
            </w:pPr>
          </w:p>
        </w:tc>
        <w:tc>
          <w:tcPr>
            <w:tcW w:w="3496" w:type="pct"/>
            <w:gridSpan w:val="3"/>
            <w:noWrap w:val="0"/>
            <w:vAlign w:val="center"/>
          </w:tcPr>
          <w:p w14:paraId="1FD5D291">
            <w:pPr>
              <w:pStyle w:val="9"/>
              <w:keepNext w:val="0"/>
              <w:keepLines w:val="0"/>
              <w:pageBreakBefore w:val="0"/>
              <w:widowControl/>
              <w:kinsoku/>
              <w:wordWrap/>
              <w:overflowPunct/>
              <w:topLinePunct w:val="0"/>
              <w:autoSpaceDE/>
              <w:autoSpaceDN/>
              <w:bidi w:val="0"/>
              <w:adjustRightInd/>
              <w:snapToGrid/>
              <w:spacing w:before="78" w:line="320" w:lineRule="exact"/>
              <w:ind w:left="111" w:right="118" w:firstLine="2"/>
              <w:jc w:val="left"/>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提供</w:t>
            </w:r>
            <w:r>
              <w:rPr>
                <w:rFonts w:hint="eastAsia" w:ascii="仿宋_GB2312" w:hAnsi="仿宋_GB2312" w:eastAsia="仿宋_GB2312" w:cs="仿宋_GB2312"/>
                <w:b/>
                <w:bCs/>
                <w:kern w:val="2"/>
                <w:sz w:val="28"/>
                <w:szCs w:val="28"/>
                <w:lang w:val="en-US" w:eastAsia="zh-CN" w:bidi="ar-SA"/>
              </w:rPr>
              <w:t>执业兽医资格证</w:t>
            </w:r>
            <w:r>
              <w:rPr>
                <w:rFonts w:hint="eastAsia" w:ascii="仿宋_GB2312" w:hAnsi="仿宋_GB2312" w:eastAsia="仿宋_GB2312" w:cs="仿宋_GB2312"/>
                <w:b w:val="0"/>
                <w:bCs w:val="0"/>
                <w:kern w:val="2"/>
                <w:sz w:val="28"/>
                <w:szCs w:val="28"/>
                <w:lang w:val="en-US" w:eastAsia="zh-CN" w:bidi="ar-SA"/>
              </w:rPr>
              <w:t>、</w:t>
            </w:r>
            <w:r>
              <w:rPr>
                <w:rFonts w:hint="eastAsia" w:ascii="仿宋_GB2312" w:hAnsi="仿宋_GB2312" w:eastAsia="仿宋_GB2312" w:cs="仿宋_GB2312"/>
                <w:b/>
                <w:bCs/>
                <w:kern w:val="2"/>
                <w:sz w:val="28"/>
                <w:szCs w:val="28"/>
                <w:lang w:val="en-US" w:eastAsia="zh-CN" w:bidi="ar-SA"/>
              </w:rPr>
              <w:t>乡村兽医备案表</w:t>
            </w:r>
            <w:r>
              <w:rPr>
                <w:rFonts w:hint="eastAsia" w:ascii="仿宋_GB2312" w:hAnsi="仿宋_GB2312" w:eastAsia="仿宋_GB2312" w:cs="仿宋_GB2312"/>
                <w:b w:val="0"/>
                <w:bCs w:val="0"/>
                <w:kern w:val="2"/>
                <w:sz w:val="28"/>
                <w:szCs w:val="28"/>
                <w:lang w:val="en-US" w:eastAsia="zh-CN" w:bidi="ar-SA"/>
              </w:rPr>
              <w:t>（副表）复印件。执业兽医人员数量，2分/人；乡村兽医人员数量，1分/人；本项最高上限10分。</w:t>
            </w:r>
          </w:p>
        </w:tc>
      </w:tr>
      <w:tr w14:paraId="2207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5000" w:type="pct"/>
            <w:gridSpan w:val="4"/>
            <w:noWrap w:val="0"/>
            <w:vAlign w:val="top"/>
          </w:tcPr>
          <w:p w14:paraId="4FE9AD9B">
            <w:pPr>
              <w:pStyle w:val="9"/>
              <w:keepNext w:val="0"/>
              <w:keepLines w:val="0"/>
              <w:pageBreakBefore w:val="0"/>
              <w:widowControl/>
              <w:kinsoku/>
              <w:wordWrap/>
              <w:overflowPunct/>
              <w:topLinePunct w:val="0"/>
              <w:autoSpaceDE/>
              <w:autoSpaceDN/>
              <w:bidi w:val="0"/>
              <w:adjustRightInd/>
              <w:snapToGrid/>
              <w:spacing w:before="175" w:line="320" w:lineRule="exact"/>
              <w:ind w:left="0" w:leftChars="0" w:hanging="10" w:firstLineChars="0"/>
              <w:jc w:val="center"/>
              <w:textAlignment w:val="auto"/>
              <w:rPr>
                <w:rFonts w:hint="eastAsia" w:ascii="仿宋_GB2312" w:hAnsi="仿宋_GB2312" w:eastAsia="仿宋_GB2312" w:cs="仿宋_GB2312"/>
                <w:snapToGrid w:val="0"/>
                <w:color w:val="000000"/>
                <w:kern w:val="0"/>
                <w:sz w:val="30"/>
                <w:szCs w:val="30"/>
                <w:lang w:val="en-US" w:eastAsia="en-US" w:bidi="ar-SA"/>
              </w:rPr>
            </w:pPr>
            <w:r>
              <w:rPr>
                <w:rFonts w:hint="eastAsia" w:ascii="仿宋_GB2312" w:hAnsi="仿宋_GB2312" w:eastAsia="仿宋_GB2312" w:cs="仿宋_GB2312"/>
                <w:b/>
                <w:bCs/>
                <w:snapToGrid w:val="0"/>
                <w:color w:val="000000"/>
                <w:kern w:val="0"/>
                <w:sz w:val="30"/>
                <w:szCs w:val="30"/>
                <w:lang w:val="en-US" w:eastAsia="zh-CN" w:bidi="ar-SA"/>
              </w:rPr>
              <w:t>业绩评分</w:t>
            </w:r>
            <w:r>
              <w:rPr>
                <w:rFonts w:hint="eastAsia" w:ascii="仿宋_GB2312" w:hAnsi="仿宋_GB2312" w:eastAsia="仿宋_GB2312" w:cs="仿宋_GB2312"/>
                <w:b/>
                <w:bCs/>
                <w:snapToGrid w:val="0"/>
                <w:color w:val="000000"/>
                <w:kern w:val="0"/>
                <w:sz w:val="30"/>
                <w:szCs w:val="30"/>
                <w:lang w:val="en-US" w:eastAsia="en-US" w:bidi="ar-SA"/>
              </w:rPr>
              <w:t>（满分</w:t>
            </w:r>
            <w:r>
              <w:rPr>
                <w:rFonts w:hint="eastAsia" w:ascii="仿宋_GB2312" w:hAnsi="仿宋_GB2312" w:eastAsia="仿宋_GB2312" w:cs="仿宋_GB2312"/>
                <w:b/>
                <w:bCs/>
                <w:snapToGrid w:val="0"/>
                <w:color w:val="000000"/>
                <w:kern w:val="0"/>
                <w:sz w:val="30"/>
                <w:szCs w:val="30"/>
                <w:lang w:val="en-US" w:eastAsia="zh-CN" w:bidi="ar-SA"/>
              </w:rPr>
              <w:t>10</w:t>
            </w:r>
            <w:r>
              <w:rPr>
                <w:rFonts w:hint="eastAsia" w:ascii="仿宋_GB2312" w:hAnsi="仿宋_GB2312" w:eastAsia="仿宋_GB2312" w:cs="仿宋_GB2312"/>
                <w:b/>
                <w:bCs/>
                <w:snapToGrid w:val="0"/>
                <w:color w:val="000000"/>
                <w:kern w:val="0"/>
                <w:sz w:val="30"/>
                <w:szCs w:val="30"/>
                <w:lang w:val="en-US" w:eastAsia="en-US" w:bidi="ar-SA"/>
              </w:rPr>
              <w:t>分）</w:t>
            </w:r>
          </w:p>
        </w:tc>
      </w:tr>
      <w:tr w14:paraId="4BCC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6" w:hRule="atLeast"/>
          <w:jc w:val="center"/>
        </w:trPr>
        <w:tc>
          <w:tcPr>
            <w:tcW w:w="1503" w:type="pct"/>
            <w:noWrap w:val="0"/>
            <w:vAlign w:val="center"/>
          </w:tcPr>
          <w:p w14:paraId="6EA3DCEA">
            <w:pPr>
              <w:pStyle w:val="5"/>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napToGrid w:val="0"/>
                <w:color w:val="000000"/>
                <w:kern w:val="0"/>
                <w:sz w:val="30"/>
                <w:szCs w:val="30"/>
                <w:lang w:val="en-US" w:eastAsia="zh-CN" w:bidi="ar-SA"/>
              </w:rPr>
            </w:pPr>
            <w:r>
              <w:rPr>
                <w:rFonts w:hint="eastAsia" w:ascii="仿宋_GB2312" w:hAnsi="仿宋_GB2312" w:eastAsia="仿宋_GB2312" w:cs="仿宋_GB2312"/>
                <w:snapToGrid w:val="0"/>
                <w:color w:val="000000"/>
                <w:kern w:val="0"/>
                <w:sz w:val="30"/>
                <w:szCs w:val="30"/>
                <w:lang w:val="en-US" w:eastAsia="zh-CN" w:bidi="ar-SA"/>
              </w:rPr>
              <w:t>服务组织</w:t>
            </w:r>
            <w:r>
              <w:rPr>
                <w:rFonts w:hint="eastAsia" w:ascii="仿宋_GB2312" w:hAnsi="仿宋_GB2312" w:eastAsia="仿宋_GB2312" w:cs="仿宋_GB2312"/>
                <w:b w:val="0"/>
                <w:bCs w:val="0"/>
                <w:kern w:val="2"/>
                <w:sz w:val="30"/>
                <w:szCs w:val="30"/>
                <w:lang w:val="en-US" w:eastAsia="zh-CN" w:bidi="ar-SA"/>
              </w:rPr>
              <w:t>开展畜牧兽医服务业绩评分</w:t>
            </w:r>
          </w:p>
          <w:p w14:paraId="0F6ABB8B">
            <w:pPr>
              <w:pStyle w:val="6"/>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napToGrid w:val="0"/>
                <w:color w:val="000000"/>
                <w:kern w:val="0"/>
                <w:sz w:val="30"/>
                <w:szCs w:val="30"/>
                <w:lang w:val="en-US" w:eastAsia="zh-CN" w:bidi="ar-SA"/>
              </w:rPr>
            </w:pPr>
            <w:r>
              <w:rPr>
                <w:rFonts w:hint="eastAsia" w:ascii="仿宋_GB2312" w:hAnsi="仿宋_GB2312" w:eastAsia="仿宋_GB2312" w:cs="仿宋_GB2312"/>
                <w:snapToGrid w:val="0"/>
                <w:color w:val="000000"/>
                <w:kern w:val="0"/>
                <w:sz w:val="30"/>
                <w:szCs w:val="30"/>
                <w:lang w:val="en-US" w:eastAsia="zh-CN" w:bidi="ar-SA"/>
              </w:rPr>
              <w:t>（满分10分）</w:t>
            </w:r>
          </w:p>
        </w:tc>
        <w:tc>
          <w:tcPr>
            <w:tcW w:w="3496" w:type="pct"/>
            <w:gridSpan w:val="3"/>
            <w:noWrap w:val="0"/>
            <w:vAlign w:val="center"/>
          </w:tcPr>
          <w:p w14:paraId="6D06CDC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napToGrid w:val="0"/>
                <w:color w:val="000000"/>
                <w:kern w:val="0"/>
                <w:sz w:val="30"/>
                <w:szCs w:val="30"/>
                <w:lang w:val="en-US" w:eastAsia="zh-CN" w:bidi="ar-SA"/>
              </w:rPr>
            </w:pPr>
            <w:r>
              <w:rPr>
                <w:rFonts w:hint="eastAsia" w:ascii="仿宋_GB2312" w:hAnsi="仿宋_GB2312" w:eastAsia="仿宋_GB2312" w:cs="仿宋_GB2312"/>
                <w:b w:val="0"/>
                <w:bCs w:val="0"/>
                <w:snapToGrid w:val="0"/>
                <w:color w:val="000000"/>
                <w:kern w:val="2"/>
                <w:sz w:val="28"/>
                <w:szCs w:val="28"/>
                <w:lang w:val="en-US" w:eastAsia="zh-CN" w:bidi="ar-SA"/>
              </w:rPr>
              <w:t>提供服务组织开展畜牧兽医服务业绩材料，包括但不限于工作图片、服务合同、服务费用收款收据等。参加都匀市动物强制免疫工作的得3分，其他业务开展1项得2分，同一项业务不重复计分，</w:t>
            </w:r>
            <w:r>
              <w:rPr>
                <w:rFonts w:hint="eastAsia" w:ascii="仿宋_GB2312" w:hAnsi="仿宋_GB2312" w:eastAsia="仿宋_GB2312" w:cs="仿宋_GB2312"/>
                <w:b w:val="0"/>
                <w:bCs w:val="0"/>
                <w:kern w:val="2"/>
                <w:sz w:val="28"/>
                <w:szCs w:val="28"/>
                <w:lang w:val="en-US" w:eastAsia="zh-CN" w:bidi="ar-SA"/>
              </w:rPr>
              <w:t>本项最高上限10分。</w:t>
            </w:r>
          </w:p>
        </w:tc>
      </w:tr>
    </w:tbl>
    <w:p w14:paraId="5ECFECC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047B63"/>
    <w:rsid w:val="42047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color w:val="000000"/>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snapToGrid w:val="0"/>
      <w:spacing w:line="240" w:lineRule="auto"/>
      <w:jc w:val="both"/>
      <w:outlineLvl w:val="9"/>
    </w:pPr>
    <w:rPr>
      <w:sz w:val="18"/>
    </w:rPr>
  </w:style>
  <w:style w:type="paragraph" w:styleId="5">
    <w:name w:val="Body Text"/>
    <w:basedOn w:val="1"/>
    <w:next w:val="6"/>
    <w:semiHidden/>
    <w:qFormat/>
    <w:uiPriority w:val="0"/>
    <w:rPr>
      <w:rFonts w:ascii="Arial" w:hAnsi="Arial" w:eastAsia="Arial" w:cs="Arial"/>
      <w:sz w:val="21"/>
      <w:szCs w:val="21"/>
      <w:lang w:val="en-US" w:eastAsia="en-US" w:bidi="ar-SA"/>
    </w:rPr>
  </w:style>
  <w:style w:type="paragraph" w:customStyle="1" w:styleId="6">
    <w:name w:val="_Style 2"/>
    <w:next w:val="1"/>
    <w:qFormat/>
    <w:uiPriority w:val="0"/>
    <w:pPr>
      <w:wordWrap w:val="0"/>
    </w:pPr>
    <w:rPr>
      <w:rFonts w:ascii="Times New Roman" w:hAnsi="Times New Roman" w:eastAsia="Times New Roman" w:cs="Times New Roman"/>
      <w:sz w:val="32"/>
      <w:szCs w:val="22"/>
      <w:lang w:val="en-US" w:eastAsia="zh-CN" w:bidi="ar-SA"/>
    </w:rPr>
  </w:style>
  <w:style w:type="paragraph" w:customStyle="1" w:styleId="9">
    <w:name w:val="Table Text"/>
    <w:basedOn w:val="1"/>
    <w:semiHidden/>
    <w:qFormat/>
    <w:uiPriority w:val="0"/>
    <w:rPr>
      <w:rFonts w:ascii="宋体" w:hAnsi="宋体" w:eastAsia="宋体" w:cs="宋体"/>
      <w:sz w:val="24"/>
      <w:szCs w:val="24"/>
      <w:lang w:val="en-US" w:eastAsia="en-US" w:bidi="ar-SA"/>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2025-05-12T08:48:00Z</dcterms:created>
  <dc:creator>WPS_1722305900</dc:creator>
  <cp:lastModifiedBy>WPS_1722305900</cp:lastModifiedBy>
  <dcterms:modified xsi:type="dcterms:W3CDTF">2025-05-12T08:49:11Z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47D5BA1C6668441AAE883EEF8C2BD875_11</vt:lpwstr>
  </property>
  <property fmtid="{D5CDD505-2E9C-101B-9397-08002B2CF9AE}" pid="4" name="KSOTemplateDocerSaveRecord">
    <vt:lpwstr>eyJoZGlkIjoiZWQzMmRjOTZiY2VlNmI0Y2NlZDBjYWYzMzEwMDFjN2EiLCJ1c2VySWQiOiIxNjE4MTQwNzQ4In0=</vt:lpwstr>
  </property>
</Properties>
</file>