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805" w:rsidRDefault="00C436BB">
      <w:pPr>
        <w:spacing w:line="570" w:lineRule="exact"/>
        <w:rPr>
          <w:rFonts w:ascii="黑体" w:eastAsia="黑体" w:hAnsi="黑体" w:cs="黑体"/>
          <w:sz w:val="32"/>
          <w:szCs w:val="32"/>
        </w:rPr>
      </w:pPr>
      <w:bookmarkStart w:id="0" w:name="_GoBack"/>
      <w:bookmarkEnd w:id="0"/>
      <w:r>
        <w:rPr>
          <w:rFonts w:ascii="黑体" w:eastAsia="黑体" w:hAnsi="黑体" w:cs="黑体" w:hint="eastAsia"/>
          <w:sz w:val="32"/>
          <w:szCs w:val="32"/>
        </w:rPr>
        <w:t>附件</w:t>
      </w:r>
      <w:r>
        <w:rPr>
          <w:rFonts w:ascii="黑体" w:eastAsia="黑体" w:hAnsi="黑体" w:cs="黑体" w:hint="eastAsia"/>
          <w:sz w:val="32"/>
          <w:szCs w:val="32"/>
        </w:rPr>
        <w:t>1</w:t>
      </w:r>
    </w:p>
    <w:p w:rsidR="00AA3805" w:rsidRDefault="00AA3805"/>
    <w:p w:rsidR="00AA3805" w:rsidRDefault="00C436BB">
      <w:pPr>
        <w:spacing w:line="720" w:lineRule="exact"/>
        <w:jc w:val="center"/>
      </w:pPr>
      <w:r>
        <w:rPr>
          <w:rFonts w:ascii="方正小标宋简体" w:eastAsia="方正小标宋简体" w:hAnsi="方正小标宋简体" w:cs="方正小标宋简体" w:hint="eastAsia"/>
          <w:sz w:val="44"/>
          <w:szCs w:val="44"/>
        </w:rPr>
        <w:t>2026</w:t>
      </w:r>
      <w:r>
        <w:rPr>
          <w:rFonts w:ascii="方正小标宋简体" w:eastAsia="方正小标宋简体" w:hAnsi="方正小标宋简体" w:cs="方正小标宋简体" w:hint="eastAsia"/>
          <w:sz w:val="44"/>
          <w:szCs w:val="44"/>
        </w:rPr>
        <w:t>年省林业局预算编制要求</w:t>
      </w:r>
    </w:p>
    <w:p w:rsidR="00AA3805" w:rsidRDefault="00AA3805">
      <w:pPr>
        <w:spacing w:line="570" w:lineRule="exact"/>
        <w:rPr>
          <w:rFonts w:ascii="方正仿宋_GB2312" w:eastAsia="方正仿宋_GB2312" w:hAnsi="方正仿宋_GB2312" w:cs="方正仿宋_GB2312"/>
          <w:sz w:val="32"/>
          <w:szCs w:val="32"/>
        </w:rPr>
      </w:pPr>
    </w:p>
    <w:p w:rsidR="00AA3805" w:rsidRDefault="00C436BB">
      <w:pPr>
        <w:spacing w:line="570" w:lineRule="exact"/>
        <w:ind w:firstLineChars="200" w:firstLine="640"/>
        <w:rPr>
          <w:rFonts w:ascii="黑体" w:eastAsia="黑体" w:hAnsi="黑体" w:cs="黑体"/>
          <w:sz w:val="32"/>
          <w:szCs w:val="32"/>
        </w:rPr>
      </w:pPr>
      <w:r>
        <w:rPr>
          <w:rFonts w:ascii="黑体" w:eastAsia="黑体" w:hAnsi="黑体" w:cs="黑体" w:hint="eastAsia"/>
          <w:sz w:val="32"/>
          <w:szCs w:val="32"/>
        </w:rPr>
        <w:t>一、编报范围</w:t>
      </w:r>
    </w:p>
    <w:p w:rsidR="00AA3805" w:rsidRDefault="00C436BB">
      <w:pPr>
        <w:spacing w:line="590" w:lineRule="exact"/>
        <w:ind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（一）省本级项目</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编报主体：符合申报条件的局机关各部门、局直属单位。</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资金范围：包括省级林业草原改革发展资金和林业草原生态保护恢复资金（以下简称“省级林业专项资金”）、林业事务管理经费、非税收入成本性支出、单位资金等。其中：林业事务管理经费仅限局本级以及省林业基金管理站、省林业信息和宣传中心申报。</w:t>
      </w:r>
    </w:p>
    <w:p w:rsidR="00AA3805" w:rsidRDefault="00C436BB">
      <w:pPr>
        <w:spacing w:line="590" w:lineRule="exact"/>
        <w:ind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（二）对下转移支付（省对下）</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编报主体：符合申报条件的地方林业主管部门及指南明确的其他主体。</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资金范围：省级林业草原改革发展资金、林业草原生态保护恢复资金（以下简称“省级林业专项资金”）。</w:t>
      </w:r>
    </w:p>
    <w:p w:rsidR="00AA3805" w:rsidRDefault="00C436BB">
      <w:pPr>
        <w:spacing w:line="570" w:lineRule="exac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 xml:space="preserve">    </w:t>
      </w:r>
      <w:r>
        <w:rPr>
          <w:rFonts w:ascii="楷体_GB2312" w:eastAsia="楷体_GB2312" w:hAnsi="楷体_GB2312" w:cs="楷体_GB2312" w:hint="eastAsia"/>
          <w:color w:val="000000" w:themeColor="text1"/>
          <w:sz w:val="32"/>
          <w:szCs w:val="32"/>
        </w:rPr>
        <w:t>（三）跨部门项目</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编报主体：符合申报条件的其他省级预算部门（林业系统外），按单位性质可分为行政单位、公益一类事业单位。必须由公益二类事业单位承担且不适合通过市场化方式提供的事项，可纳入跨部门项目预算编制。但适合市场化方式提供的事项，</w:t>
      </w:r>
      <w:r>
        <w:rPr>
          <w:rFonts w:ascii="仿宋_GB2312" w:eastAsia="仿宋_GB2312" w:hAnsi="仿宋_GB2312" w:cs="仿宋_GB2312" w:hint="eastAsia"/>
          <w:color w:val="000000" w:themeColor="text1"/>
          <w:sz w:val="32"/>
          <w:szCs w:val="32"/>
        </w:rPr>
        <w:lastRenderedPageBreak/>
        <w:t>应作为本单位（部门）委托业务费核算，按照政府采购规定购买服务。</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资金范围：省级林业草原改革发展资金、林业草原生态保护恢复资金（以下简称“省级林业专项资金”）。</w:t>
      </w:r>
    </w:p>
    <w:p w:rsidR="00AA3805" w:rsidRDefault="00C436BB">
      <w:pPr>
        <w:spacing w:line="57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（四）提前下达中</w:t>
      </w:r>
      <w:r>
        <w:rPr>
          <w:rFonts w:ascii="楷体_GB2312" w:eastAsia="楷体_GB2312" w:hAnsi="楷体_GB2312" w:cs="楷体_GB2312" w:hint="eastAsia"/>
          <w:color w:val="000000" w:themeColor="text1"/>
          <w:sz w:val="32"/>
          <w:szCs w:val="32"/>
        </w:rPr>
        <w:t>央资金</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按照省财政厅预算编制要求，提前下达</w:t>
      </w:r>
      <w:r>
        <w:rPr>
          <w:rFonts w:ascii="仿宋_GB2312" w:eastAsia="仿宋_GB2312" w:hAnsi="仿宋_GB2312" w:cs="仿宋_GB2312" w:hint="eastAsia"/>
          <w:color w:val="000000" w:themeColor="text1"/>
          <w:sz w:val="32"/>
          <w:szCs w:val="32"/>
        </w:rPr>
        <w:t>2026</w:t>
      </w:r>
      <w:r>
        <w:rPr>
          <w:rFonts w:ascii="仿宋_GB2312" w:eastAsia="仿宋_GB2312" w:hAnsi="仿宋_GB2312" w:cs="仿宋_GB2312" w:hint="eastAsia"/>
          <w:color w:val="000000" w:themeColor="text1"/>
          <w:sz w:val="32"/>
          <w:szCs w:val="32"/>
        </w:rPr>
        <w:t>年中央资金应同步纳入项目库申报。待提前下达</w:t>
      </w:r>
      <w:r>
        <w:rPr>
          <w:rFonts w:ascii="仿宋_GB2312" w:eastAsia="仿宋_GB2312" w:hAnsi="仿宋_GB2312" w:cs="仿宋_GB2312" w:hint="eastAsia"/>
          <w:color w:val="000000" w:themeColor="text1"/>
          <w:sz w:val="32"/>
          <w:szCs w:val="32"/>
        </w:rPr>
        <w:t>2026</w:t>
      </w:r>
      <w:r>
        <w:rPr>
          <w:rFonts w:ascii="仿宋_GB2312" w:eastAsia="仿宋_GB2312" w:hAnsi="仿宋_GB2312" w:cs="仿宋_GB2312" w:hint="eastAsia"/>
          <w:color w:val="000000" w:themeColor="text1"/>
          <w:sz w:val="32"/>
          <w:szCs w:val="32"/>
        </w:rPr>
        <w:t>年中央资金预算规模明确后再按照预算申报流程申报。中央资金跨部门项目在项目库阶段暂不报送。</w:t>
      </w:r>
    </w:p>
    <w:p w:rsidR="00AA3805" w:rsidRDefault="00C436BB">
      <w:pPr>
        <w:spacing w:line="57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二、申报指南说明及规模控制</w:t>
      </w:r>
    </w:p>
    <w:p w:rsidR="00AA3805" w:rsidRDefault="00C436BB">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sz w:val="32"/>
          <w:szCs w:val="32"/>
        </w:rPr>
        <w:t>为进一步提高预算编报质量，落实审计整改要求，</w:t>
      </w:r>
      <w:r>
        <w:rPr>
          <w:rFonts w:ascii="仿宋_GB2312" w:eastAsia="仿宋_GB2312" w:hAnsi="仿宋_GB2312" w:cs="仿宋_GB2312" w:hint="eastAsia"/>
          <w:color w:val="000000"/>
          <w:sz w:val="32"/>
          <w:szCs w:val="32"/>
        </w:rPr>
        <w:t>我局制定了</w:t>
      </w:r>
      <w:r>
        <w:rPr>
          <w:rFonts w:ascii="仿宋_GB2312" w:eastAsia="仿宋_GB2312" w:hAnsi="仿宋_GB2312" w:cs="仿宋_GB2312" w:hint="eastAsia"/>
          <w:color w:val="000000"/>
          <w:sz w:val="32"/>
          <w:szCs w:val="32"/>
        </w:rPr>
        <w:t>202</w:t>
      </w:r>
      <w:r>
        <w:rPr>
          <w:rFonts w:ascii="仿宋_GB2312" w:eastAsia="仿宋_GB2312" w:hAnsi="仿宋_GB2312" w:cs="仿宋_GB2312" w:hint="eastAsia"/>
          <w:color w:val="000000"/>
          <w:sz w:val="32"/>
          <w:szCs w:val="32"/>
        </w:rPr>
        <w:t>6</w:t>
      </w:r>
      <w:r>
        <w:rPr>
          <w:rFonts w:ascii="仿宋_GB2312" w:eastAsia="仿宋_GB2312" w:hAnsi="仿宋_GB2312" w:cs="仿宋_GB2312" w:hint="eastAsia"/>
          <w:color w:val="000000"/>
          <w:sz w:val="32"/>
          <w:szCs w:val="32"/>
        </w:rPr>
        <w:t>年省级预算项目申报指南</w:t>
      </w:r>
      <w:r>
        <w:rPr>
          <w:rFonts w:ascii="仿宋_GB2312" w:eastAsia="仿宋_GB2312" w:hAnsi="仿宋_GB2312" w:cs="仿宋_GB2312" w:hint="eastAsia"/>
          <w:color w:val="000000"/>
          <w:sz w:val="32"/>
          <w:szCs w:val="32"/>
        </w:rPr>
        <w:t>及</w:t>
      </w:r>
      <w:r>
        <w:rPr>
          <w:rFonts w:ascii="仿宋_GB2312" w:eastAsia="仿宋_GB2312" w:hAnsi="仿宋_GB2312" w:cs="仿宋_GB2312" w:hint="eastAsia"/>
          <w:color w:val="000000"/>
          <w:sz w:val="32"/>
          <w:szCs w:val="32"/>
        </w:rPr>
        <w:t>项目申报建议书模板</w:t>
      </w:r>
      <w:r>
        <w:rPr>
          <w:rFonts w:ascii="仿宋_GB2312" w:eastAsia="仿宋_GB2312" w:hAnsi="仿宋_GB2312" w:cs="仿宋_GB2312" w:hint="eastAsia"/>
          <w:color w:val="000000"/>
          <w:sz w:val="32"/>
          <w:szCs w:val="32"/>
        </w:rPr>
        <w:t>（附件</w:t>
      </w:r>
      <w:r>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除预算申报指南中已明确的项目，林业事务管理经费、非税收入项目、单位资金，以及</w:t>
      </w:r>
      <w:r>
        <w:rPr>
          <w:rFonts w:ascii="仿宋_GB2312" w:eastAsia="仿宋_GB2312" w:hAnsi="仿宋_GB2312" w:cs="仿宋_GB2312" w:hint="eastAsia"/>
          <w:color w:val="000000" w:themeColor="text1"/>
          <w:sz w:val="32"/>
          <w:szCs w:val="32"/>
        </w:rPr>
        <w:t>省级林业专项资金中省本级列支的常规业务经费，按照有关资金管理办法要求，据实测算申报，相关内容不再罗列在申报指南中。</w:t>
      </w:r>
    </w:p>
    <w:p w:rsidR="00AA3805" w:rsidRDefault="00C436BB">
      <w:pPr>
        <w:spacing w:line="570" w:lineRule="exact"/>
        <w:ind w:firstLineChars="200" w:firstLine="640"/>
        <w:rPr>
          <w:rFonts w:ascii="黑体" w:eastAsia="黑体" w:hAnsi="黑体" w:cs="黑体"/>
          <w:sz w:val="32"/>
          <w:szCs w:val="32"/>
        </w:rPr>
      </w:pPr>
      <w:r>
        <w:rPr>
          <w:rFonts w:ascii="仿宋_GB2312" w:eastAsia="仿宋_GB2312" w:hAnsi="仿宋_GB2312" w:cs="仿宋_GB2312" w:hint="eastAsia"/>
          <w:color w:val="000000"/>
          <w:sz w:val="32"/>
          <w:szCs w:val="32"/>
        </w:rPr>
        <w:t>各项目申报单位要根据项目申报指南要求，科学谋划申报项目，编实编细</w:t>
      </w:r>
      <w:r>
        <w:rPr>
          <w:rFonts w:ascii="仿宋_GB2312" w:eastAsia="仿宋_GB2312" w:hAnsi="仿宋_GB2312" w:cs="仿宋_GB2312" w:hint="eastAsia"/>
          <w:color w:val="000000"/>
          <w:sz w:val="32"/>
          <w:szCs w:val="32"/>
        </w:rPr>
        <w:t>项目申报建议书</w:t>
      </w:r>
      <w:r>
        <w:rPr>
          <w:rFonts w:ascii="仿宋_GB2312" w:eastAsia="仿宋_GB2312" w:hAnsi="仿宋_GB2312" w:cs="仿宋_GB2312" w:hint="eastAsia"/>
          <w:color w:val="000000"/>
          <w:sz w:val="32"/>
          <w:szCs w:val="32"/>
        </w:rPr>
        <w:t>。原则上各部门（单位）申报</w:t>
      </w:r>
      <w:r>
        <w:rPr>
          <w:rFonts w:ascii="仿宋_GB2312" w:eastAsia="仿宋_GB2312" w:hAnsi="仿宋_GB2312" w:cs="仿宋_GB2312" w:hint="eastAsia"/>
          <w:color w:val="000000"/>
          <w:sz w:val="32"/>
          <w:szCs w:val="32"/>
        </w:rPr>
        <w:t>2026</w:t>
      </w:r>
      <w:r>
        <w:rPr>
          <w:rFonts w:ascii="仿宋_GB2312" w:eastAsia="仿宋_GB2312" w:hAnsi="仿宋_GB2312" w:cs="仿宋_GB2312" w:hint="eastAsia"/>
          <w:color w:val="000000"/>
          <w:sz w:val="32"/>
          <w:szCs w:val="32"/>
        </w:rPr>
        <w:t>年预算规模不得超过上年度批复规模的</w:t>
      </w:r>
      <w:r>
        <w:rPr>
          <w:rFonts w:ascii="仿宋_GB2312" w:eastAsia="仿宋_GB2312" w:hAnsi="仿宋_GB2312" w:cs="仿宋_GB2312" w:hint="eastAsia"/>
          <w:color w:val="000000"/>
          <w:sz w:val="32"/>
          <w:szCs w:val="32"/>
        </w:rPr>
        <w:t>150%</w:t>
      </w:r>
      <w:r>
        <w:rPr>
          <w:rFonts w:ascii="仿宋_GB2312" w:eastAsia="仿宋_GB2312" w:hAnsi="仿宋_GB2312" w:cs="仿宋_GB2312" w:hint="eastAsia"/>
          <w:color w:val="000000"/>
          <w:sz w:val="32"/>
          <w:szCs w:val="32"/>
        </w:rPr>
        <w:t>，省对下项目以市（州）为单位总额控制，在控制数内择优推荐项目。申报指南有明确规定申报数量及规模的，以指南要求为准。申报财政入库阶段，按照省财政厅要求控制在上年度批复规模的</w:t>
      </w:r>
      <w:r>
        <w:rPr>
          <w:rFonts w:ascii="仿宋_GB2312" w:eastAsia="仿宋_GB2312" w:hAnsi="仿宋_GB2312" w:cs="仿宋_GB2312" w:hint="eastAsia"/>
          <w:color w:val="000000"/>
          <w:sz w:val="32"/>
          <w:szCs w:val="32"/>
        </w:rPr>
        <w:t>120%</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lastRenderedPageBreak/>
        <w:t>其中：项目资金由综合评审排序列入；因素法分配的业务经费，按因素</w:t>
      </w:r>
      <w:r>
        <w:rPr>
          <w:rFonts w:ascii="仿宋_GB2312" w:eastAsia="仿宋_GB2312" w:hAnsi="仿宋_GB2312" w:cs="仿宋_GB2312" w:hint="eastAsia"/>
          <w:color w:val="000000"/>
          <w:sz w:val="32"/>
          <w:szCs w:val="32"/>
        </w:rPr>
        <w:t>测算列入；省本级业务经费，由财务处组织评审后列入。</w:t>
      </w:r>
    </w:p>
    <w:p w:rsidR="00AA3805" w:rsidRDefault="00C436BB">
      <w:pPr>
        <w:spacing w:line="570" w:lineRule="exact"/>
        <w:ind w:firstLineChars="200" w:firstLine="640"/>
        <w:rPr>
          <w:rFonts w:ascii="黑体" w:eastAsia="黑体" w:hAnsi="黑体" w:cs="黑体"/>
          <w:sz w:val="32"/>
          <w:szCs w:val="32"/>
        </w:rPr>
      </w:pPr>
      <w:r>
        <w:rPr>
          <w:rFonts w:ascii="黑体" w:eastAsia="黑体" w:hAnsi="黑体" w:cs="黑体" w:hint="eastAsia"/>
          <w:sz w:val="32"/>
          <w:szCs w:val="32"/>
        </w:rPr>
        <w:t>二、申报总体要求</w:t>
      </w:r>
    </w:p>
    <w:p w:rsidR="00AA3805" w:rsidRDefault="00C436BB">
      <w:pPr>
        <w:spacing w:line="59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（一）申报项目</w:t>
      </w:r>
      <w:r>
        <w:rPr>
          <w:rFonts w:ascii="仿宋_GB2312" w:eastAsia="仿宋_GB2312" w:hAnsi="仿宋_GB2312" w:cs="仿宋_GB2312" w:hint="eastAsia"/>
          <w:color w:val="000000" w:themeColor="text1"/>
          <w:sz w:val="32"/>
          <w:szCs w:val="32"/>
        </w:rPr>
        <w:t>符合法律法规、政府规章、</w:t>
      </w:r>
      <w:r>
        <w:rPr>
          <w:rFonts w:ascii="仿宋_GB2312" w:eastAsia="仿宋_GB2312" w:hAnsi="仿宋_GB2312" w:cs="仿宋_GB2312"/>
          <w:color w:val="000000" w:themeColor="text1"/>
          <w:sz w:val="32"/>
          <w:szCs w:val="32"/>
        </w:rPr>
        <w:t>财政事权支出责任</w:t>
      </w:r>
      <w:r>
        <w:rPr>
          <w:rFonts w:ascii="仿宋_GB2312" w:eastAsia="仿宋_GB2312" w:hAnsi="仿宋_GB2312" w:cs="仿宋_GB2312" w:hint="eastAsia"/>
          <w:color w:val="000000" w:themeColor="text1"/>
          <w:sz w:val="32"/>
          <w:szCs w:val="32"/>
        </w:rPr>
        <w:t>划分</w:t>
      </w:r>
      <w:r>
        <w:rPr>
          <w:rFonts w:ascii="仿宋_GB2312" w:eastAsia="仿宋_GB2312" w:hAnsi="仿宋_GB2312" w:cs="仿宋_GB2312" w:hint="eastAsia"/>
          <w:color w:val="000000" w:themeColor="text1"/>
          <w:sz w:val="32"/>
          <w:szCs w:val="32"/>
        </w:rPr>
        <w:t>等相关制度要求。</w:t>
      </w:r>
      <w:r>
        <w:rPr>
          <w:rFonts w:ascii="仿宋_GB2312" w:eastAsia="仿宋_GB2312" w:hAnsi="仿宋_GB2312" w:cs="仿宋_GB2312"/>
          <w:color w:val="000000" w:themeColor="text1"/>
          <w:sz w:val="32"/>
          <w:szCs w:val="32"/>
        </w:rPr>
        <w:t>符合</w:t>
      </w:r>
      <w:r>
        <w:rPr>
          <w:rFonts w:ascii="仿宋_GB2312" w:eastAsia="仿宋_GB2312" w:hAnsi="仿宋_GB2312" w:cs="仿宋_GB2312" w:hint="eastAsia"/>
          <w:color w:val="000000" w:themeColor="text1"/>
          <w:sz w:val="32"/>
          <w:szCs w:val="32"/>
        </w:rPr>
        <w:t>《贵州省林业草原生态保护恢复资金管理办法》《贵州省林业草原改革发展资金管理办法》《贵州省林业事务管理资金管理办法》等规定的资金</w:t>
      </w:r>
      <w:r>
        <w:rPr>
          <w:rFonts w:ascii="仿宋_GB2312" w:eastAsia="仿宋_GB2312" w:hAnsi="仿宋_GB2312" w:cs="仿宋_GB2312"/>
          <w:color w:val="000000" w:themeColor="text1"/>
          <w:sz w:val="32"/>
          <w:szCs w:val="32"/>
        </w:rPr>
        <w:t>支出范围</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color w:val="000000" w:themeColor="text1"/>
          <w:sz w:val="32"/>
          <w:szCs w:val="32"/>
        </w:rPr>
        <w:t>与本</w:t>
      </w:r>
      <w:r>
        <w:rPr>
          <w:rFonts w:ascii="仿宋_GB2312" w:eastAsia="仿宋_GB2312" w:hAnsi="仿宋_GB2312" w:cs="仿宋_GB2312" w:hint="eastAsia"/>
          <w:color w:val="000000" w:themeColor="text1"/>
          <w:sz w:val="32"/>
          <w:szCs w:val="32"/>
        </w:rPr>
        <w:t>单位职能</w:t>
      </w:r>
      <w:r>
        <w:rPr>
          <w:rFonts w:ascii="仿宋_GB2312" w:eastAsia="仿宋_GB2312" w:hAnsi="仿宋_GB2312" w:cs="仿宋_GB2312"/>
          <w:color w:val="000000" w:themeColor="text1"/>
          <w:sz w:val="32"/>
          <w:szCs w:val="32"/>
        </w:rPr>
        <w:t>职责和事业发展需要相匹配</w:t>
      </w:r>
      <w:r>
        <w:rPr>
          <w:rFonts w:ascii="仿宋_GB2312" w:eastAsia="仿宋_GB2312" w:hAnsi="仿宋_GB2312" w:cs="仿宋_GB2312" w:hint="eastAsia"/>
          <w:color w:val="000000" w:themeColor="text1"/>
          <w:sz w:val="32"/>
          <w:szCs w:val="32"/>
        </w:rPr>
        <w:t>。符合</w:t>
      </w:r>
      <w:r>
        <w:rPr>
          <w:rFonts w:ascii="仿宋_GB2312" w:eastAsia="仿宋_GB2312" w:hAnsi="仿宋_GB2312" w:cs="仿宋_GB2312" w:hint="eastAsia"/>
          <w:color w:val="000000" w:themeColor="text1"/>
          <w:sz w:val="32"/>
          <w:szCs w:val="32"/>
        </w:rPr>
        <w:t>项目申报指南（附件</w:t>
      </w: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）明确的范围和要求。</w:t>
      </w:r>
      <w:r>
        <w:rPr>
          <w:rFonts w:ascii="仿宋_GB2312" w:eastAsia="仿宋_GB2312" w:hAnsi="仿宋_GB2312" w:cs="仿宋_GB2312" w:hint="eastAsia"/>
          <w:color w:val="000000" w:themeColor="text1"/>
          <w:sz w:val="32"/>
          <w:szCs w:val="32"/>
        </w:rPr>
        <w:t>立项依据充分。</w:t>
      </w:r>
    </w:p>
    <w:p w:rsidR="00AA3805" w:rsidRDefault="00C436BB">
      <w:pPr>
        <w:spacing w:line="59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（二）申报项目务必确保成熟度，规范申报。要充分评估申报项目</w:t>
      </w:r>
      <w:r>
        <w:rPr>
          <w:rFonts w:ascii="仿宋_GB2312" w:eastAsia="仿宋_GB2312" w:hAnsi="仿宋_GB2312" w:cs="仿宋_GB2312"/>
          <w:color w:val="000000" w:themeColor="text1"/>
          <w:sz w:val="32"/>
          <w:szCs w:val="32"/>
        </w:rPr>
        <w:t>必要性</w:t>
      </w:r>
      <w:r>
        <w:rPr>
          <w:rFonts w:ascii="仿宋_GB2312" w:eastAsia="仿宋_GB2312" w:hAnsi="仿宋_GB2312" w:cs="仿宋_GB2312" w:hint="eastAsia"/>
          <w:color w:val="000000" w:themeColor="text1"/>
          <w:sz w:val="32"/>
          <w:szCs w:val="32"/>
        </w:rPr>
        <w:t>、合</w:t>
      </w:r>
      <w:r>
        <w:rPr>
          <w:rFonts w:ascii="仿宋_GB2312" w:eastAsia="仿宋_GB2312" w:hAnsi="仿宋_GB2312" w:cs="仿宋_GB2312"/>
          <w:color w:val="000000" w:themeColor="text1"/>
          <w:sz w:val="32"/>
          <w:szCs w:val="32"/>
        </w:rPr>
        <w:t>理性、可行性</w:t>
      </w:r>
      <w:r>
        <w:rPr>
          <w:rFonts w:ascii="仿宋_GB2312" w:eastAsia="仿宋_GB2312" w:hAnsi="仿宋_GB2312" w:cs="仿宋_GB2312" w:hint="eastAsia"/>
          <w:color w:val="000000" w:themeColor="text1"/>
          <w:sz w:val="32"/>
          <w:szCs w:val="32"/>
        </w:rPr>
        <w:t>，资金下达后能够立即实施。要严格按照项目申报指南（附件</w:t>
      </w: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）明确的范围和要求准确编报项目。申报</w:t>
      </w:r>
      <w:r>
        <w:rPr>
          <w:rFonts w:ascii="仿宋_GB2312" w:eastAsia="仿宋_GB2312" w:hAnsi="仿宋_GB2312" w:cs="仿宋_GB2312"/>
          <w:color w:val="000000" w:themeColor="text1"/>
          <w:sz w:val="32"/>
          <w:szCs w:val="32"/>
        </w:rPr>
        <w:t>项目内容边界应该清晰明确，同一单位同一项内容，</w:t>
      </w:r>
      <w:r>
        <w:rPr>
          <w:rFonts w:ascii="仿宋_GB2312" w:eastAsia="仿宋_GB2312" w:hAnsi="仿宋_GB2312" w:cs="仿宋_GB2312" w:hint="eastAsia"/>
          <w:color w:val="000000" w:themeColor="text1"/>
          <w:sz w:val="32"/>
          <w:szCs w:val="32"/>
        </w:rPr>
        <w:t>不得</w:t>
      </w:r>
      <w:r>
        <w:rPr>
          <w:rFonts w:ascii="仿宋_GB2312" w:eastAsia="仿宋_GB2312" w:hAnsi="仿宋_GB2312" w:cs="仿宋_GB2312"/>
          <w:color w:val="000000" w:themeColor="text1"/>
          <w:sz w:val="32"/>
          <w:szCs w:val="32"/>
        </w:rPr>
        <w:t>重复申报多个项目或多项资金。</w:t>
      </w:r>
      <w:r>
        <w:rPr>
          <w:rFonts w:ascii="仿宋_GB2312" w:eastAsia="仿宋_GB2312" w:hAnsi="仿宋_GB2312" w:cs="仿宋_GB2312" w:hint="eastAsia"/>
          <w:color w:val="000000" w:themeColor="text1"/>
          <w:sz w:val="32"/>
          <w:szCs w:val="32"/>
        </w:rPr>
        <w:t>已申报中央资金的项目，不得申报省级资金。项目申报建议书要严格按照模板（附件</w:t>
      </w: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）要求，规范详实填报。</w:t>
      </w:r>
    </w:p>
    <w:p w:rsidR="00AA3805" w:rsidRDefault="00C436BB">
      <w:pPr>
        <w:spacing w:line="59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（三）资金测算</w:t>
      </w:r>
      <w:r>
        <w:rPr>
          <w:rFonts w:ascii="仿宋_GB2312" w:eastAsia="仿宋_GB2312" w:hAnsi="仿宋_GB2312" w:cs="仿宋_GB2312" w:hint="eastAsia"/>
          <w:color w:val="000000" w:themeColor="text1"/>
          <w:sz w:val="32"/>
          <w:szCs w:val="32"/>
        </w:rPr>
        <w:t>务必实事求是，坚持</w:t>
      </w:r>
      <w:r>
        <w:rPr>
          <w:rFonts w:ascii="仿宋_GB2312" w:eastAsia="仿宋_GB2312" w:hAnsi="仿宋_GB2312" w:cs="仿宋_GB2312" w:hint="eastAsia"/>
          <w:color w:val="000000" w:themeColor="text1"/>
          <w:sz w:val="32"/>
          <w:szCs w:val="32"/>
        </w:rPr>
        <w:t>“花钱必问效、无效必问责”原则，根据实际需求申报项目，并</w:t>
      </w:r>
      <w:r>
        <w:rPr>
          <w:rFonts w:ascii="仿宋_GB2312" w:eastAsia="仿宋_GB2312" w:hAnsi="仿宋_GB2312" w:cs="仿宋_GB2312" w:hint="eastAsia"/>
          <w:color w:val="000000" w:themeColor="text1"/>
          <w:sz w:val="32"/>
          <w:szCs w:val="32"/>
        </w:rPr>
        <w:t>科学细化测算。预算支出标准以财政通用预算支出标准及《贵州省林业局部门整体项目支出预算标准体系</w:t>
      </w:r>
      <w:r w:rsidR="0005329C">
        <w:rPr>
          <w:rFonts w:ascii="仿宋_GB2312" w:eastAsia="仿宋_GB2312" w:hAnsi="仿宋_GB2312" w:cs="仿宋_GB2312" w:hint="eastAsia"/>
          <w:color w:val="000000" w:themeColor="text1"/>
          <w:sz w:val="32"/>
          <w:szCs w:val="32"/>
        </w:rPr>
        <w:t>（试行）》</w:t>
      </w:r>
      <w:r>
        <w:rPr>
          <w:rFonts w:ascii="仿宋_GB2312" w:eastAsia="仿宋_GB2312" w:hAnsi="仿宋_GB2312" w:cs="仿宋_GB2312" w:hint="eastAsia"/>
          <w:color w:val="000000" w:themeColor="text1"/>
          <w:sz w:val="32"/>
          <w:szCs w:val="32"/>
        </w:rPr>
        <w:t>明确的省级补助标准为准，</w:t>
      </w:r>
      <w:r>
        <w:rPr>
          <w:rFonts w:ascii="仿宋_GB2312" w:eastAsia="仿宋_GB2312" w:hAnsi="仿宋_GB2312" w:cs="仿宋_GB2312" w:hint="eastAsia"/>
          <w:color w:val="000000" w:themeColor="text1"/>
          <w:sz w:val="32"/>
          <w:szCs w:val="32"/>
        </w:rPr>
        <w:lastRenderedPageBreak/>
        <w:t>无支出标准的项目，应采取市场</w:t>
      </w:r>
      <w:r>
        <w:rPr>
          <w:rFonts w:ascii="仿宋_GB2312" w:eastAsia="仿宋_GB2312" w:hAnsi="仿宋_GB2312" w:cs="仿宋_GB2312" w:hint="eastAsia"/>
          <w:color w:val="000000" w:themeColor="text1"/>
          <w:sz w:val="32"/>
          <w:szCs w:val="32"/>
        </w:rPr>
        <w:t>询价、历史经验评估等方式，细化测算。间接费用</w:t>
      </w:r>
      <w:r>
        <w:rPr>
          <w:rFonts w:ascii="仿宋_GB2312" w:eastAsia="仿宋_GB2312" w:hAnsi="仿宋_GB2312" w:cs="仿宋_GB2312" w:hint="eastAsia"/>
          <w:color w:val="000000" w:themeColor="text1"/>
          <w:sz w:val="32"/>
          <w:szCs w:val="32"/>
        </w:rPr>
        <w:t>原则上不超过财政补助资金的</w:t>
      </w:r>
      <w:r>
        <w:rPr>
          <w:rFonts w:ascii="仿宋_GB2312" w:eastAsia="仿宋_GB2312" w:hAnsi="仿宋_GB2312" w:cs="仿宋_GB2312" w:hint="eastAsia"/>
          <w:color w:val="000000" w:themeColor="text1"/>
          <w:sz w:val="32"/>
          <w:szCs w:val="32"/>
        </w:rPr>
        <w:t>5%</w:t>
      </w:r>
      <w:r>
        <w:rPr>
          <w:rFonts w:ascii="仿宋_GB2312" w:eastAsia="仿宋_GB2312" w:hAnsi="仿宋_GB2312" w:cs="仿宋_GB2312" w:hint="eastAsia"/>
          <w:color w:val="000000" w:themeColor="text1"/>
          <w:sz w:val="32"/>
          <w:szCs w:val="32"/>
        </w:rPr>
        <w:t>安排，据实列支方案编制（作业设计）、方案审查、</w:t>
      </w:r>
      <w:r>
        <w:rPr>
          <w:rFonts w:ascii="仿宋_GB2312" w:eastAsia="仿宋_GB2312" w:hAnsi="仿宋_GB2312" w:cs="仿宋_GB2312" w:hint="eastAsia"/>
          <w:color w:val="000000" w:themeColor="text1"/>
          <w:sz w:val="32"/>
          <w:szCs w:val="32"/>
        </w:rPr>
        <w:t>检查验收等费用，厉行节约。不得用于财政补助单位人员经费和机构运行费。</w:t>
      </w:r>
    </w:p>
    <w:p w:rsidR="00AA3805" w:rsidRDefault="00C436BB">
      <w:pPr>
        <w:spacing w:line="59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（四）省级资金原则上只能使用一年。各单位申报项目时，涉及跨年度项目的，要分年度细化测算资金需求，不可一次性申报所有年度项目资金。省对下项目预算申报原则上为</w:t>
      </w: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年。经常性项目资金规模较</w:t>
      </w:r>
      <w:r>
        <w:rPr>
          <w:rFonts w:ascii="仿宋_GB2312" w:eastAsia="仿宋_GB2312" w:hAnsi="仿宋_GB2312" w:cs="仿宋_GB2312" w:hint="eastAsia"/>
          <w:color w:val="000000" w:themeColor="text1"/>
          <w:sz w:val="32"/>
          <w:szCs w:val="32"/>
        </w:rPr>
        <w:t>2025</w:t>
      </w:r>
      <w:r>
        <w:rPr>
          <w:rFonts w:ascii="仿宋_GB2312" w:eastAsia="仿宋_GB2312" w:hAnsi="仿宋_GB2312" w:cs="仿宋_GB2312" w:hint="eastAsia"/>
          <w:color w:val="000000" w:themeColor="text1"/>
          <w:sz w:val="32"/>
          <w:szCs w:val="32"/>
        </w:rPr>
        <w:t>年预算批复</w:t>
      </w:r>
      <w:r>
        <w:rPr>
          <w:rFonts w:ascii="仿宋_GB2312" w:eastAsia="仿宋_GB2312" w:hAnsi="仿宋_GB2312" w:cs="仿宋_GB2312" w:hint="eastAsia"/>
          <w:color w:val="000000" w:themeColor="text1"/>
          <w:sz w:val="32"/>
          <w:szCs w:val="32"/>
        </w:rPr>
        <w:t>增长的，需提供增长依据，依据不充分的，将不扩大支出规模。对部门年初预算没有编准、留有硬缺口的，除特殊事项外，年度执行中不再追加预算。</w:t>
      </w:r>
    </w:p>
    <w:p w:rsidR="00AA3805" w:rsidRDefault="00C436BB">
      <w:pPr>
        <w:spacing w:line="59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（五）项目入库时绩效目标作为项目入库的必备条件。各单位在申报项目预算时，同步申报绩效目标。绩效目标申报应按照《贵州省林业局部门整体项目支出预算标准体系</w:t>
      </w:r>
      <w:r w:rsidR="0005329C">
        <w:rPr>
          <w:rFonts w:ascii="仿宋_GB2312" w:eastAsia="仿宋_GB2312" w:hAnsi="仿宋_GB2312" w:cs="仿宋_GB2312" w:hint="eastAsia"/>
          <w:color w:val="000000" w:themeColor="text1"/>
          <w:sz w:val="32"/>
          <w:szCs w:val="32"/>
        </w:rPr>
        <w:t>（试行）》</w:t>
      </w:r>
      <w:r>
        <w:rPr>
          <w:rFonts w:ascii="仿宋_GB2312" w:eastAsia="仿宋_GB2312" w:hAnsi="仿宋_GB2312" w:cs="仿宋_GB2312" w:hint="eastAsia"/>
          <w:color w:val="000000" w:themeColor="text1"/>
          <w:sz w:val="32"/>
          <w:szCs w:val="32"/>
        </w:rPr>
        <w:t>中配套的绩效目标申报，无配套标准的要结合行业特点认真梳理项目绩效目标、量化关键绩效指标</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提高项目入库项目绩效目标质量</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确保绩效目标指向明确、细化量化、合理可行、相应匹配。</w:t>
      </w:r>
    </w:p>
    <w:p w:rsidR="00AA3805" w:rsidRDefault="00C436BB">
      <w:pPr>
        <w:spacing w:line="59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六</w:t>
      </w:r>
      <w:r>
        <w:rPr>
          <w:rFonts w:ascii="仿宋_GB2312" w:eastAsia="仿宋_GB2312" w:hAnsi="仿宋_GB2312" w:cs="仿宋_GB2312"/>
          <w:color w:val="000000" w:themeColor="text1"/>
          <w:sz w:val="32"/>
          <w:szCs w:val="32"/>
        </w:rPr>
        <w:t>）做好</w:t>
      </w:r>
      <w:r>
        <w:rPr>
          <w:rFonts w:ascii="仿宋_GB2312" w:eastAsia="仿宋_GB2312" w:hAnsi="仿宋_GB2312" w:cs="仿宋_GB2312"/>
          <w:color w:val="000000" w:themeColor="text1"/>
          <w:sz w:val="32"/>
          <w:szCs w:val="32"/>
        </w:rPr>
        <w:t>202</w:t>
      </w: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color w:val="000000" w:themeColor="text1"/>
          <w:sz w:val="32"/>
          <w:szCs w:val="32"/>
        </w:rPr>
        <w:t>-202</w:t>
      </w:r>
      <w:r>
        <w:rPr>
          <w:rFonts w:ascii="仿宋_GB2312" w:eastAsia="仿宋_GB2312" w:hAnsi="仿宋_GB2312" w:cs="仿宋_GB2312" w:hint="eastAsia"/>
          <w:color w:val="000000" w:themeColor="text1"/>
          <w:sz w:val="32"/>
          <w:szCs w:val="32"/>
        </w:rPr>
        <w:t>8</w:t>
      </w:r>
      <w:r>
        <w:rPr>
          <w:rFonts w:ascii="仿宋_GB2312" w:eastAsia="仿宋_GB2312" w:hAnsi="仿宋_GB2312" w:cs="仿宋_GB2312"/>
          <w:color w:val="000000" w:themeColor="text1"/>
          <w:sz w:val="32"/>
          <w:szCs w:val="32"/>
        </w:rPr>
        <w:t>年三年支出规划编制</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color w:val="000000" w:themeColor="text1"/>
          <w:sz w:val="32"/>
          <w:szCs w:val="32"/>
        </w:rPr>
        <w:t>202</w:t>
      </w: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color w:val="000000" w:themeColor="text1"/>
          <w:sz w:val="32"/>
          <w:szCs w:val="32"/>
        </w:rPr>
        <w:t>-202</w:t>
      </w:r>
      <w:r>
        <w:rPr>
          <w:rFonts w:ascii="仿宋_GB2312" w:eastAsia="仿宋_GB2312" w:hAnsi="仿宋_GB2312" w:cs="仿宋_GB2312" w:hint="eastAsia"/>
          <w:color w:val="000000" w:themeColor="text1"/>
          <w:sz w:val="32"/>
          <w:szCs w:val="32"/>
        </w:rPr>
        <w:t>8</w:t>
      </w:r>
      <w:r>
        <w:rPr>
          <w:rFonts w:ascii="仿宋_GB2312" w:eastAsia="仿宋_GB2312" w:hAnsi="仿宋_GB2312" w:cs="仿宋_GB2312"/>
          <w:color w:val="000000" w:themeColor="text1"/>
          <w:sz w:val="32"/>
          <w:szCs w:val="32"/>
        </w:rPr>
        <w:t>年支出规划与</w:t>
      </w:r>
      <w:r>
        <w:rPr>
          <w:rFonts w:ascii="仿宋_GB2312" w:eastAsia="仿宋_GB2312" w:hAnsi="仿宋_GB2312" w:cs="仿宋_GB2312"/>
          <w:color w:val="000000" w:themeColor="text1"/>
          <w:sz w:val="32"/>
          <w:szCs w:val="32"/>
        </w:rPr>
        <w:t>202</w:t>
      </w: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color w:val="000000" w:themeColor="text1"/>
          <w:sz w:val="32"/>
          <w:szCs w:val="32"/>
        </w:rPr>
        <w:t>年预算编制同步进行</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color w:val="000000" w:themeColor="text1"/>
          <w:sz w:val="32"/>
          <w:szCs w:val="32"/>
        </w:rPr>
        <w:t>应按照</w:t>
      </w:r>
      <w:r>
        <w:rPr>
          <w:rFonts w:ascii="仿宋_GB2312" w:eastAsia="仿宋_GB2312" w:hAnsi="仿宋_GB2312" w:cs="仿宋_GB2312"/>
          <w:color w:val="000000" w:themeColor="text1"/>
          <w:sz w:val="32"/>
          <w:szCs w:val="32"/>
        </w:rPr>
        <w:t>“</w:t>
      </w:r>
      <w:r>
        <w:rPr>
          <w:rFonts w:ascii="仿宋_GB2312" w:eastAsia="仿宋_GB2312" w:hAnsi="仿宋_GB2312" w:cs="仿宋_GB2312"/>
          <w:color w:val="000000" w:themeColor="text1"/>
          <w:sz w:val="32"/>
          <w:szCs w:val="32"/>
        </w:rPr>
        <w:t>统筹当前长远、坚持问题导向、强化重点保障、优化财力配置</w:t>
      </w:r>
      <w:r>
        <w:rPr>
          <w:rFonts w:ascii="仿宋_GB2312" w:eastAsia="仿宋_GB2312" w:hAnsi="仿宋_GB2312" w:cs="仿宋_GB2312"/>
          <w:color w:val="000000" w:themeColor="text1"/>
          <w:sz w:val="32"/>
          <w:szCs w:val="32"/>
        </w:rPr>
        <w:t>”</w:t>
      </w:r>
      <w:r>
        <w:rPr>
          <w:rFonts w:ascii="仿宋_GB2312" w:eastAsia="仿宋_GB2312" w:hAnsi="仿宋_GB2312" w:cs="仿宋_GB2312"/>
          <w:color w:val="000000" w:themeColor="text1"/>
          <w:sz w:val="32"/>
          <w:szCs w:val="32"/>
        </w:rPr>
        <w:t>的原则，立足</w:t>
      </w:r>
      <w:r>
        <w:rPr>
          <w:rFonts w:ascii="仿宋_GB2312" w:eastAsia="仿宋_GB2312" w:hAnsi="仿宋_GB2312" w:cs="仿宋_GB2312"/>
          <w:color w:val="000000" w:themeColor="text1"/>
          <w:sz w:val="32"/>
          <w:szCs w:val="32"/>
        </w:rPr>
        <w:lastRenderedPageBreak/>
        <w:t>自身职能职责，结合国民经济社会发展规划、部门及行业发展规划，贯彻省委、省政府重大决策部署，聚焦三年规划期内重大改革、重要政策和重点项目，继续对未来三年重大财政收支情况进行分析预测，并在以前年度支出规划基础上，滚动编制部门</w:t>
      </w:r>
      <w:r>
        <w:rPr>
          <w:rFonts w:ascii="仿宋_GB2312" w:eastAsia="仿宋_GB2312" w:hAnsi="仿宋_GB2312" w:cs="仿宋_GB2312"/>
          <w:color w:val="000000" w:themeColor="text1"/>
          <w:sz w:val="32"/>
          <w:szCs w:val="32"/>
        </w:rPr>
        <w:t>202</w:t>
      </w: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color w:val="000000" w:themeColor="text1"/>
          <w:sz w:val="32"/>
          <w:szCs w:val="32"/>
        </w:rPr>
        <w:t>-202</w:t>
      </w:r>
      <w:r>
        <w:rPr>
          <w:rFonts w:ascii="仿宋_GB2312" w:eastAsia="仿宋_GB2312" w:hAnsi="仿宋_GB2312" w:cs="仿宋_GB2312" w:hint="eastAsia"/>
          <w:color w:val="000000" w:themeColor="text1"/>
          <w:sz w:val="32"/>
          <w:szCs w:val="32"/>
        </w:rPr>
        <w:t>8</w:t>
      </w:r>
      <w:r>
        <w:rPr>
          <w:rFonts w:ascii="仿宋_GB2312" w:eastAsia="仿宋_GB2312" w:hAnsi="仿宋_GB2312" w:cs="仿宋_GB2312"/>
          <w:color w:val="000000" w:themeColor="text1"/>
          <w:sz w:val="32"/>
          <w:szCs w:val="32"/>
        </w:rPr>
        <w:t>年支出规划。</w:t>
      </w:r>
    </w:p>
    <w:p w:rsidR="00AA3805" w:rsidRDefault="00C436BB">
      <w:pPr>
        <w:spacing w:line="590" w:lineRule="exact"/>
        <w:ind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三、申报具体要求</w:t>
      </w:r>
    </w:p>
    <w:p w:rsidR="00AA3805" w:rsidRDefault="00C436BB">
      <w:pPr>
        <w:spacing w:line="590" w:lineRule="exact"/>
        <w:ind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（一）省本级项目</w:t>
      </w:r>
    </w:p>
    <w:p w:rsidR="00AA3805" w:rsidRDefault="00C436BB" w:rsidP="0005329C">
      <w:pPr>
        <w:spacing w:line="590" w:lineRule="exact"/>
        <w:ind w:firstLineChars="200" w:firstLine="641"/>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1.</w:t>
      </w:r>
      <w:r>
        <w:rPr>
          <w:rFonts w:ascii="仿宋_GB2312" w:eastAsia="仿宋_GB2312" w:hAnsi="仿宋_GB2312" w:cs="仿宋_GB2312" w:hint="eastAsia"/>
          <w:b/>
          <w:bCs/>
          <w:color w:val="000000" w:themeColor="text1"/>
          <w:sz w:val="32"/>
          <w:szCs w:val="32"/>
        </w:rPr>
        <w:t>严格前置审批。</w:t>
      </w:r>
      <w:r>
        <w:rPr>
          <w:rFonts w:ascii="仿宋_GB2312" w:eastAsia="仿宋_GB2312" w:hAnsi="仿宋_GB2312" w:cs="仿宋_GB2312" w:hint="eastAsia"/>
          <w:color w:val="000000" w:themeColor="text1"/>
          <w:sz w:val="32"/>
          <w:szCs w:val="32"/>
        </w:rPr>
        <w:t>基建项目、政务信息化项目、维修改造类项目、房屋租赁及车辆采购类项目等有专门立项（审批）程序的，要先完成立项（审批）程序。未获得相关批复的项目，不得申请入库。其中，属于政府投资项目的，还应按规定完成政府投资项目决策评</w:t>
      </w:r>
      <w:r>
        <w:rPr>
          <w:rFonts w:ascii="仿宋_GB2312" w:eastAsia="仿宋_GB2312" w:hAnsi="仿宋_GB2312" w:cs="仿宋_GB2312" w:hint="eastAsia"/>
          <w:color w:val="000000" w:themeColor="text1"/>
          <w:sz w:val="32"/>
          <w:szCs w:val="32"/>
        </w:rPr>
        <w:t>估，并已纳入当年度的政府投资年度计划。节庆、论坛、展会和评比表彰等项目应先取得相关部门同意开展的批复后才能入库。新增政策或新设重大项目的，需开展事前绩效评估并评审后纳入项目库。培训、会议需列入计划，按实际需求从严从紧在标准内编制，能不开的就不开，能线上的就不线下，能自行举办的不得委托，原则上比上年</w:t>
      </w:r>
      <w:r>
        <w:rPr>
          <w:rFonts w:ascii="仿宋_GB2312" w:eastAsia="仿宋_GB2312" w:hAnsi="仿宋_GB2312" w:cs="仿宋_GB2312" w:hint="eastAsia"/>
          <w:color w:val="000000" w:themeColor="text1"/>
          <w:sz w:val="32"/>
          <w:szCs w:val="32"/>
        </w:rPr>
        <w:t>只减不增。培训费、会议费分别列“</w:t>
      </w:r>
      <w:r>
        <w:rPr>
          <w:rFonts w:ascii="仿宋_GB2312" w:eastAsia="仿宋_GB2312" w:hAnsi="仿宋_GB2312" w:cs="仿宋_GB2312" w:hint="eastAsia"/>
          <w:color w:val="000000" w:themeColor="text1"/>
          <w:sz w:val="32"/>
          <w:szCs w:val="32"/>
        </w:rPr>
        <w:t>2050803</w:t>
      </w:r>
      <w:r>
        <w:rPr>
          <w:rFonts w:ascii="仿宋_GB2312" w:eastAsia="仿宋_GB2312" w:hAnsi="仿宋_GB2312" w:cs="仿宋_GB2312" w:hint="eastAsia"/>
          <w:color w:val="000000" w:themeColor="text1"/>
          <w:sz w:val="32"/>
          <w:szCs w:val="32"/>
        </w:rPr>
        <w:t>培训支出、</w:t>
      </w:r>
      <w:r>
        <w:rPr>
          <w:rFonts w:ascii="仿宋_GB2312" w:eastAsia="仿宋_GB2312" w:hAnsi="仿宋_GB2312" w:cs="仿宋_GB2312" w:hint="eastAsia"/>
          <w:color w:val="000000" w:themeColor="text1"/>
          <w:sz w:val="32"/>
          <w:szCs w:val="32"/>
        </w:rPr>
        <w:t>30216</w:t>
      </w:r>
      <w:r>
        <w:rPr>
          <w:rFonts w:ascii="仿宋_GB2312" w:eastAsia="仿宋_GB2312" w:hAnsi="仿宋_GB2312" w:cs="仿宋_GB2312" w:hint="eastAsia"/>
          <w:color w:val="000000" w:themeColor="text1"/>
          <w:sz w:val="32"/>
          <w:szCs w:val="32"/>
        </w:rPr>
        <w:t>培训费”“</w:t>
      </w:r>
      <w:r>
        <w:rPr>
          <w:rFonts w:ascii="仿宋_GB2312" w:eastAsia="仿宋_GB2312" w:hAnsi="仿宋_GB2312" w:cs="仿宋_GB2312" w:hint="eastAsia"/>
          <w:color w:val="000000" w:themeColor="text1"/>
          <w:sz w:val="32"/>
          <w:szCs w:val="32"/>
        </w:rPr>
        <w:t>30215</w:t>
      </w:r>
      <w:r>
        <w:rPr>
          <w:rFonts w:ascii="仿宋_GB2312" w:eastAsia="仿宋_GB2312" w:hAnsi="仿宋_GB2312" w:cs="仿宋_GB2312" w:hint="eastAsia"/>
          <w:color w:val="000000" w:themeColor="text1"/>
          <w:sz w:val="32"/>
          <w:szCs w:val="32"/>
        </w:rPr>
        <w:t>会议费”，未准确列支科目，不得开支相关经费。会议、培训地点严格按照相关管理办法要求选择定点机构。</w:t>
      </w:r>
    </w:p>
    <w:p w:rsidR="00AA3805" w:rsidRDefault="00C436BB" w:rsidP="0005329C">
      <w:pPr>
        <w:spacing w:line="590" w:lineRule="exact"/>
        <w:ind w:firstLineChars="200" w:firstLine="641"/>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2.</w:t>
      </w:r>
      <w:r>
        <w:rPr>
          <w:rFonts w:ascii="仿宋_GB2312" w:eastAsia="仿宋_GB2312" w:hAnsi="仿宋_GB2312" w:cs="仿宋_GB2312" w:hint="eastAsia"/>
          <w:b/>
          <w:bCs/>
          <w:color w:val="000000" w:themeColor="text1"/>
          <w:sz w:val="32"/>
          <w:szCs w:val="32"/>
        </w:rPr>
        <w:t>严控委托业务费。</w:t>
      </w:r>
      <w:r>
        <w:rPr>
          <w:rFonts w:ascii="仿宋_GB2312" w:eastAsia="仿宋_GB2312" w:hAnsi="仿宋_GB2312" w:cs="仿宋_GB2312" w:hint="eastAsia"/>
          <w:color w:val="000000" w:themeColor="text1"/>
          <w:sz w:val="32"/>
          <w:szCs w:val="32"/>
        </w:rPr>
        <w:t>各单位、部门应对照“三定方案”明</w:t>
      </w:r>
      <w:r>
        <w:rPr>
          <w:rFonts w:ascii="仿宋_GB2312" w:eastAsia="仿宋_GB2312" w:hAnsi="仿宋_GB2312" w:cs="仿宋_GB2312" w:hint="eastAsia"/>
          <w:color w:val="000000" w:themeColor="text1"/>
          <w:sz w:val="32"/>
          <w:szCs w:val="32"/>
        </w:rPr>
        <w:lastRenderedPageBreak/>
        <w:t>确的部门职能职责，凡属本单位职责范围内应当直接履职的事项，不得对外委托实施，不属于本单位职责的事项，不得委托外单位实施，不得通过委托业务等方式变相增加编外人员或财政支出。各单位、部门在编制委托业务费时，需单独填报附件</w:t>
      </w: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hint="eastAsia"/>
          <w:color w:val="000000" w:themeColor="text1"/>
          <w:sz w:val="32"/>
          <w:szCs w:val="32"/>
        </w:rPr>
        <w:t>，说明对外委托的主要业务内容、政策依据、委托目的、必要性、</w:t>
      </w:r>
      <w:r>
        <w:rPr>
          <w:rFonts w:ascii="仿宋_GB2312" w:eastAsia="仿宋_GB2312" w:hAnsi="仿宋_GB2312" w:cs="仿宋_GB2312" w:hint="eastAsia"/>
          <w:color w:val="000000" w:themeColor="text1"/>
          <w:sz w:val="32"/>
          <w:szCs w:val="32"/>
        </w:rPr>
        <w:t>受委托对象、业务内容、起止日期、经费测算过程等具体事项。未填报及理由依据不充分、测算不合理的，不予安排。同时，规范科目列支行为，不得将维修改造、物业管理、宣传等劳务费用支出，以及业务培训、会议、办公设备购置、信息运维等支出列入委托业务费，应严格按照经济分类列支相关科目。</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3.</w:t>
      </w:r>
      <w:r>
        <w:rPr>
          <w:rFonts w:ascii="仿宋_GB2312" w:eastAsia="仿宋_GB2312" w:hAnsi="仿宋_GB2312" w:cs="仿宋_GB2312" w:hint="eastAsia"/>
          <w:b/>
          <w:bCs/>
          <w:color w:val="000000" w:themeColor="text1"/>
          <w:sz w:val="32"/>
          <w:szCs w:val="32"/>
        </w:rPr>
        <w:t>严格按标准细化测算。</w:t>
      </w:r>
      <w:r>
        <w:rPr>
          <w:rFonts w:ascii="仿宋_GB2312" w:eastAsia="仿宋_GB2312" w:hAnsi="仿宋_GB2312" w:cs="仿宋_GB2312" w:hint="eastAsia"/>
          <w:color w:val="000000" w:themeColor="text1"/>
          <w:sz w:val="32"/>
          <w:szCs w:val="32"/>
        </w:rPr>
        <w:t>各单位、部门在编制项目预算时，应严格按照财政标准及省林业局部门整体支出标准省级补助等细化测算，支出标准是限额标准，</w:t>
      </w:r>
      <w:r>
        <w:rPr>
          <w:rFonts w:ascii="仿宋_GB2312" w:eastAsia="仿宋_GB2312" w:hAnsi="仿宋_GB2312" w:cs="仿宋_GB2312" w:hint="eastAsia"/>
          <w:color w:val="000000" w:themeColor="text1"/>
          <w:sz w:val="32"/>
          <w:szCs w:val="32"/>
        </w:rPr>
        <w:t>各单位、部门不能随意顶格申报，应结合实际需求细化测算。财政预算一体化中，未能选定专项支出标准的，应统一选择“未定标准”，并在备注栏中详细测算。未按要求进行详细测算的，财政一律不安排项目。</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4.</w:t>
      </w:r>
      <w:r>
        <w:rPr>
          <w:rFonts w:ascii="仿宋_GB2312" w:eastAsia="仿宋_GB2312" w:hAnsi="仿宋_GB2312" w:cs="仿宋_GB2312" w:hint="eastAsia"/>
          <w:b/>
          <w:bCs/>
          <w:color w:val="000000" w:themeColor="text1"/>
          <w:sz w:val="32"/>
          <w:szCs w:val="32"/>
        </w:rPr>
        <w:t>严格落实分年度预算要求。</w:t>
      </w:r>
      <w:r>
        <w:rPr>
          <w:rFonts w:ascii="仿宋_GB2312" w:eastAsia="仿宋_GB2312" w:hAnsi="仿宋_GB2312" w:cs="仿宋_GB2312" w:hint="eastAsia"/>
          <w:color w:val="000000" w:themeColor="text1"/>
          <w:sz w:val="32"/>
          <w:szCs w:val="32"/>
        </w:rPr>
        <w:t>各单位、部门在编制预算时，要根据项目自身特点，充分考虑执行中可能遇到的障碍，科学合理安排实施进度，如实填报项目计划周期，将项目活动和支出分解到各年度，细化测算分年度的预算需求，当年不能形成支出的不可列入当年预算。财政预算一体化中设置了资产配置</w:t>
      </w:r>
      <w:r>
        <w:rPr>
          <w:rFonts w:ascii="仿宋_GB2312" w:eastAsia="仿宋_GB2312" w:hAnsi="仿宋_GB2312" w:cs="仿宋_GB2312" w:hint="eastAsia"/>
          <w:color w:val="000000" w:themeColor="text1"/>
          <w:sz w:val="32"/>
          <w:szCs w:val="32"/>
        </w:rPr>
        <w:lastRenderedPageBreak/>
        <w:t>和政府采购分年度测算功能，各单位、部门申报项目要合理预</w:t>
      </w:r>
      <w:r>
        <w:rPr>
          <w:rFonts w:ascii="仿宋_GB2312" w:eastAsia="仿宋_GB2312" w:hAnsi="仿宋_GB2312" w:cs="仿宋_GB2312" w:hint="eastAsia"/>
          <w:color w:val="000000" w:themeColor="text1"/>
          <w:sz w:val="32"/>
          <w:szCs w:val="32"/>
        </w:rPr>
        <w:t>计分年度支出，准确填报分年度预算。</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5.</w:t>
      </w:r>
      <w:r>
        <w:rPr>
          <w:rFonts w:ascii="仿宋_GB2312" w:eastAsia="仿宋_GB2312" w:hAnsi="仿宋_GB2312" w:cs="仿宋_GB2312" w:hint="eastAsia"/>
          <w:b/>
          <w:bCs/>
          <w:color w:val="000000" w:themeColor="text1"/>
          <w:sz w:val="32"/>
          <w:szCs w:val="32"/>
        </w:rPr>
        <w:t>严格非税收入管理。</w:t>
      </w:r>
      <w:r>
        <w:rPr>
          <w:rFonts w:ascii="仿宋_GB2312" w:eastAsia="仿宋_GB2312" w:hAnsi="仿宋_GB2312" w:cs="仿宋_GB2312" w:hint="eastAsia"/>
          <w:color w:val="000000" w:themeColor="text1"/>
          <w:sz w:val="32"/>
          <w:szCs w:val="32"/>
        </w:rPr>
        <w:t>非税收入成本性支出，应列支执收产生的相关成本费用，无执收成本的不予列支，开支与执收不相关的，不予返还。涉及非税成本性支出项目的单位，在编制</w:t>
      </w:r>
      <w:r>
        <w:rPr>
          <w:rFonts w:ascii="仿宋_GB2312" w:eastAsia="仿宋_GB2312" w:hAnsi="仿宋_GB2312" w:cs="仿宋_GB2312" w:hint="eastAsia"/>
          <w:color w:val="000000" w:themeColor="text1"/>
          <w:sz w:val="32"/>
          <w:szCs w:val="32"/>
        </w:rPr>
        <w:t>2026</w:t>
      </w:r>
      <w:r>
        <w:rPr>
          <w:rFonts w:ascii="仿宋_GB2312" w:eastAsia="仿宋_GB2312" w:hAnsi="仿宋_GB2312" w:cs="仿宋_GB2312" w:hint="eastAsia"/>
          <w:color w:val="000000" w:themeColor="text1"/>
          <w:sz w:val="32"/>
          <w:szCs w:val="32"/>
        </w:rPr>
        <w:t>年预算时，必须在项目实施方案中准确表述非税收入产生的过程、背景以及成本相关性分析，要求分类精准列报支出。行政单位、公益一类事业单位的资产出租收入属于非税收入，扣除税金、资产评估等费用后按规定缴库，公益二类事业单位资产出租收入属于单位资金。行政事业单位资产处置收入均属非税收入，在扣除税金、资产评估、拍卖佣金后</w:t>
      </w:r>
      <w:r>
        <w:rPr>
          <w:rFonts w:ascii="仿宋_GB2312" w:eastAsia="仿宋_GB2312" w:hAnsi="仿宋_GB2312" w:cs="仿宋_GB2312" w:hint="eastAsia"/>
          <w:color w:val="000000" w:themeColor="text1"/>
          <w:sz w:val="32"/>
          <w:szCs w:val="32"/>
        </w:rPr>
        <w:t>缴库。</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6.</w:t>
      </w:r>
      <w:r>
        <w:rPr>
          <w:rFonts w:ascii="仿宋_GB2312" w:eastAsia="仿宋_GB2312" w:hAnsi="仿宋_GB2312" w:cs="仿宋_GB2312" w:hint="eastAsia"/>
          <w:b/>
          <w:bCs/>
          <w:color w:val="000000" w:themeColor="text1"/>
          <w:sz w:val="32"/>
          <w:szCs w:val="32"/>
        </w:rPr>
        <w:t>严格单位资金预算管理。</w:t>
      </w:r>
      <w:r>
        <w:rPr>
          <w:rFonts w:ascii="仿宋_GB2312" w:eastAsia="仿宋_GB2312" w:hAnsi="仿宋_GB2312" w:cs="仿宋_GB2312" w:hint="eastAsia"/>
          <w:color w:val="000000" w:themeColor="text1"/>
          <w:sz w:val="32"/>
          <w:szCs w:val="32"/>
        </w:rPr>
        <w:t>单位经营往来支出情况要通过二级项目单独反映，即：单位资金安排的项目支出中，事业单位在专业业务活动及其辅助活动之外开展非独立核算经营活动发生的支出，应单独设立</w:t>
      </w:r>
      <w:r>
        <w:rPr>
          <w:rFonts w:ascii="仿宋_GB2312" w:eastAsia="仿宋_GB2312" w:hAnsi="仿宋_GB2312" w:cs="仿宋_GB2312" w:hint="eastAsia"/>
          <w:b/>
          <w:bCs/>
          <w:color w:val="000000" w:themeColor="text1"/>
          <w:sz w:val="32"/>
          <w:szCs w:val="32"/>
        </w:rPr>
        <w:t>“事业单位经营支出项目”</w:t>
      </w:r>
      <w:r>
        <w:rPr>
          <w:rFonts w:ascii="仿宋_GB2312" w:eastAsia="仿宋_GB2312" w:hAnsi="仿宋_GB2312" w:cs="仿宋_GB2312" w:hint="eastAsia"/>
          <w:color w:val="000000" w:themeColor="text1"/>
          <w:sz w:val="32"/>
          <w:szCs w:val="32"/>
        </w:rPr>
        <w:t>二级项目，选择“成本性支出”测算模板填报，对于确需通过经营收入安排的在职在编、长聘人员支出，应统一通过人员类项目编报。单位资金预算要遵循“支出不大于收入”的原则，其收入预算规模应作为支出预算的上限。</w:t>
      </w:r>
    </w:p>
    <w:p w:rsidR="00AA3805" w:rsidRDefault="00C436BB" w:rsidP="0005329C">
      <w:pPr>
        <w:spacing w:line="590" w:lineRule="exact"/>
        <w:ind w:firstLineChars="200" w:firstLine="641"/>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7.</w:t>
      </w:r>
      <w:r>
        <w:rPr>
          <w:rFonts w:ascii="仿宋_GB2312" w:eastAsia="仿宋_GB2312" w:hAnsi="仿宋_GB2312" w:cs="仿宋_GB2312"/>
          <w:b/>
          <w:bCs/>
          <w:color w:val="000000" w:themeColor="text1"/>
          <w:sz w:val="32"/>
          <w:szCs w:val="32"/>
        </w:rPr>
        <w:t>规范执行资产配置管理</w:t>
      </w:r>
      <w:r>
        <w:rPr>
          <w:rFonts w:ascii="仿宋_GB2312" w:eastAsia="仿宋_GB2312" w:hAnsi="仿宋_GB2312" w:cs="仿宋_GB2312" w:hint="eastAsia"/>
          <w:b/>
          <w:bCs/>
          <w:color w:val="000000" w:themeColor="text1"/>
          <w:sz w:val="32"/>
          <w:szCs w:val="32"/>
        </w:rPr>
        <w:t>。</w:t>
      </w:r>
      <w:r>
        <w:rPr>
          <w:rFonts w:ascii="仿宋_GB2312" w:eastAsia="仿宋_GB2312" w:hAnsi="仿宋_GB2312" w:cs="仿宋_GB2312"/>
          <w:b/>
          <w:bCs/>
          <w:color w:val="000000" w:themeColor="text1"/>
          <w:sz w:val="32"/>
          <w:szCs w:val="32"/>
        </w:rPr>
        <w:t>一是</w:t>
      </w:r>
      <w:r>
        <w:rPr>
          <w:rFonts w:ascii="仿宋_GB2312" w:eastAsia="仿宋_GB2312" w:hAnsi="仿宋_GB2312" w:cs="仿宋_GB2312"/>
          <w:color w:val="000000" w:themeColor="text1"/>
          <w:sz w:val="32"/>
          <w:szCs w:val="32"/>
        </w:rPr>
        <w:t>提高资产配置预算编制的规范性和完整性。按照</w:t>
      </w:r>
      <w:r>
        <w:rPr>
          <w:rFonts w:ascii="仿宋_GB2312" w:eastAsia="仿宋_GB2312" w:hAnsi="仿宋_GB2312" w:cs="仿宋_GB2312" w:hint="eastAsia"/>
          <w:color w:val="000000" w:themeColor="text1"/>
          <w:sz w:val="32"/>
          <w:szCs w:val="32"/>
        </w:rPr>
        <w:t>《省人民政府关于印发贵州省行政事业</w:t>
      </w:r>
      <w:r>
        <w:rPr>
          <w:rFonts w:ascii="仿宋_GB2312" w:eastAsia="仿宋_GB2312" w:hAnsi="仿宋_GB2312" w:cs="仿宋_GB2312" w:hint="eastAsia"/>
          <w:color w:val="000000" w:themeColor="text1"/>
          <w:sz w:val="32"/>
          <w:szCs w:val="32"/>
        </w:rPr>
        <w:lastRenderedPageBreak/>
        <w:t>性国有资产管理办法》</w:t>
      </w:r>
      <w:r>
        <w:rPr>
          <w:rFonts w:ascii="仿宋_GB2312" w:eastAsia="仿宋_GB2312" w:hAnsi="仿宋_GB2312" w:cs="仿宋_GB2312"/>
          <w:color w:val="000000" w:themeColor="text1"/>
          <w:sz w:val="32"/>
          <w:szCs w:val="32"/>
        </w:rPr>
        <w:t>（黔</w:t>
      </w:r>
      <w:r>
        <w:rPr>
          <w:rFonts w:ascii="仿宋_GB2312" w:eastAsia="仿宋_GB2312" w:hAnsi="仿宋_GB2312" w:cs="仿宋_GB2312" w:hint="eastAsia"/>
          <w:color w:val="000000" w:themeColor="text1"/>
          <w:sz w:val="32"/>
          <w:szCs w:val="32"/>
        </w:rPr>
        <w:t>府发</w:t>
      </w:r>
      <w:r>
        <w:rPr>
          <w:rFonts w:ascii="仿宋_GB2312" w:eastAsia="仿宋_GB2312" w:hAnsi="仿宋_GB2312" w:cs="仿宋_GB2312"/>
          <w:color w:val="000000" w:themeColor="text1"/>
          <w:sz w:val="32"/>
          <w:szCs w:val="32"/>
        </w:rPr>
        <w:t>〔</w:t>
      </w:r>
      <w:r>
        <w:rPr>
          <w:rFonts w:ascii="仿宋_GB2312" w:eastAsia="仿宋_GB2312" w:hAnsi="仿宋_GB2312" w:cs="仿宋_GB2312"/>
          <w:color w:val="000000" w:themeColor="text1"/>
          <w:sz w:val="32"/>
          <w:szCs w:val="32"/>
        </w:rPr>
        <w:t>2022</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18</w:t>
      </w:r>
      <w:r>
        <w:rPr>
          <w:rFonts w:ascii="仿宋_GB2312" w:eastAsia="仿宋_GB2312" w:hAnsi="仿宋_GB2312" w:cs="仿宋_GB2312"/>
          <w:color w:val="000000" w:themeColor="text1"/>
          <w:sz w:val="32"/>
          <w:szCs w:val="32"/>
        </w:rPr>
        <w:t>号）</w:t>
      </w:r>
      <w:r>
        <w:rPr>
          <w:rFonts w:ascii="仿宋_GB2312" w:eastAsia="仿宋_GB2312" w:hAnsi="仿宋_GB2312" w:cs="仿宋_GB2312" w:hint="eastAsia"/>
          <w:color w:val="000000" w:themeColor="text1"/>
          <w:sz w:val="32"/>
          <w:szCs w:val="32"/>
        </w:rPr>
        <w:t>等</w:t>
      </w:r>
      <w:r>
        <w:rPr>
          <w:rFonts w:ascii="仿宋_GB2312" w:eastAsia="仿宋_GB2312" w:hAnsi="仿宋_GB2312" w:cs="仿宋_GB2312"/>
          <w:color w:val="000000" w:themeColor="text1"/>
          <w:sz w:val="32"/>
          <w:szCs w:val="32"/>
        </w:rPr>
        <w:t>，根据依法履行职责和事业发展的需要，在预算编制环节认真做好新增资产配置预算编报工作，依法依规编制相关支出预算。</w:t>
      </w:r>
      <w:r>
        <w:rPr>
          <w:rFonts w:ascii="仿宋_GB2312" w:eastAsia="仿宋_GB2312" w:hAnsi="仿宋_GB2312" w:cs="仿宋_GB2312"/>
          <w:b/>
          <w:bCs/>
          <w:color w:val="000000" w:themeColor="text1"/>
          <w:sz w:val="32"/>
          <w:szCs w:val="32"/>
        </w:rPr>
        <w:t>二是</w:t>
      </w:r>
      <w:r>
        <w:rPr>
          <w:rFonts w:ascii="仿宋_GB2312" w:eastAsia="仿宋_GB2312" w:hAnsi="仿宋_GB2312" w:cs="仿宋_GB2312"/>
          <w:color w:val="000000" w:themeColor="text1"/>
          <w:sz w:val="32"/>
          <w:szCs w:val="32"/>
        </w:rPr>
        <w:t>做好新增资产和存量资产的衔接。新增资产配置应与资产存量挂钩，避免重复配置，并优先通过调剂方式配置资产，确实不能调剂的，应对配置方式进行综合分析和可行性论证，选择最优方式配置。</w:t>
      </w:r>
      <w:r>
        <w:rPr>
          <w:rFonts w:ascii="仿宋_GB2312" w:eastAsia="仿宋_GB2312" w:hAnsi="仿宋_GB2312" w:cs="仿宋_GB2312"/>
          <w:b/>
          <w:bCs/>
          <w:color w:val="000000" w:themeColor="text1"/>
          <w:sz w:val="32"/>
          <w:szCs w:val="32"/>
        </w:rPr>
        <w:t>三是</w:t>
      </w:r>
      <w:r>
        <w:rPr>
          <w:rFonts w:ascii="仿宋_GB2312" w:eastAsia="仿宋_GB2312" w:hAnsi="仿宋_GB2312" w:cs="仿宋_GB2312"/>
          <w:color w:val="000000" w:themeColor="text1"/>
          <w:sz w:val="32"/>
          <w:szCs w:val="32"/>
        </w:rPr>
        <w:t>做好资产配置预算与政府采购预算的衔接。应强化新增资产配置与政府采购的衔接，购置资产应严格按照政府采购有关规定执行。</w:t>
      </w:r>
      <w:r>
        <w:rPr>
          <w:rFonts w:ascii="仿宋_GB2312" w:eastAsia="仿宋_GB2312" w:hAnsi="仿宋_GB2312" w:cs="仿宋_GB2312" w:hint="eastAsia"/>
          <w:color w:val="000000" w:themeColor="text1"/>
          <w:sz w:val="32"/>
          <w:szCs w:val="32"/>
        </w:rPr>
        <w:t>四是原则上同一单位（系</w:t>
      </w:r>
      <w:r>
        <w:rPr>
          <w:rFonts w:ascii="仿宋_GB2312" w:eastAsia="仿宋_GB2312" w:hAnsi="仿宋_GB2312" w:cs="仿宋_GB2312" w:hint="eastAsia"/>
          <w:color w:val="000000" w:themeColor="text1"/>
          <w:sz w:val="32"/>
          <w:szCs w:val="32"/>
        </w:rPr>
        <w:t>统）内不得出现同类资产闲置与租入并存的情况，超标准、存量资产闲置的，不再新增配置。</w:t>
      </w:r>
    </w:p>
    <w:p w:rsidR="00AA3805" w:rsidRDefault="00C436BB" w:rsidP="0005329C">
      <w:pPr>
        <w:spacing w:line="590" w:lineRule="exact"/>
        <w:ind w:firstLineChars="200" w:firstLine="641"/>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8.</w:t>
      </w:r>
      <w:r>
        <w:rPr>
          <w:rFonts w:ascii="仿宋_GB2312" w:eastAsia="仿宋_GB2312" w:hAnsi="仿宋_GB2312" w:cs="仿宋_GB2312"/>
          <w:b/>
          <w:bCs/>
          <w:color w:val="000000" w:themeColor="text1"/>
          <w:sz w:val="32"/>
          <w:szCs w:val="32"/>
        </w:rPr>
        <w:t>全面加强政府采购管理</w:t>
      </w:r>
      <w:r>
        <w:rPr>
          <w:rFonts w:ascii="仿宋_GB2312" w:eastAsia="仿宋_GB2312" w:hAnsi="仿宋_GB2312" w:cs="仿宋_GB2312" w:hint="eastAsia"/>
          <w:b/>
          <w:bCs/>
          <w:color w:val="000000" w:themeColor="text1"/>
          <w:sz w:val="32"/>
          <w:szCs w:val="32"/>
        </w:rPr>
        <w:t>。</w:t>
      </w:r>
      <w:r>
        <w:rPr>
          <w:rFonts w:ascii="仿宋_GB2312" w:eastAsia="仿宋_GB2312" w:hAnsi="仿宋_GB2312" w:cs="仿宋_GB2312"/>
          <w:b/>
          <w:bCs/>
          <w:color w:val="000000" w:themeColor="text1"/>
          <w:sz w:val="32"/>
          <w:szCs w:val="32"/>
        </w:rPr>
        <w:t>一是</w:t>
      </w:r>
      <w:r>
        <w:rPr>
          <w:rFonts w:ascii="仿宋_GB2312" w:eastAsia="仿宋_GB2312" w:hAnsi="仿宋_GB2312" w:cs="仿宋_GB2312"/>
          <w:color w:val="000000" w:themeColor="text1"/>
          <w:sz w:val="32"/>
          <w:szCs w:val="32"/>
        </w:rPr>
        <w:t>严格执行</w:t>
      </w:r>
      <w:r>
        <w:rPr>
          <w:rFonts w:ascii="仿宋_GB2312" w:eastAsia="仿宋_GB2312" w:hAnsi="仿宋_GB2312" w:cs="仿宋_GB2312"/>
          <w:color w:val="000000" w:themeColor="text1"/>
          <w:sz w:val="32"/>
          <w:szCs w:val="32"/>
        </w:rPr>
        <w:t>“</w:t>
      </w:r>
      <w:r>
        <w:rPr>
          <w:rFonts w:ascii="仿宋_GB2312" w:eastAsia="仿宋_GB2312" w:hAnsi="仿宋_GB2312" w:cs="仿宋_GB2312"/>
          <w:color w:val="000000" w:themeColor="text1"/>
          <w:sz w:val="32"/>
          <w:szCs w:val="32"/>
        </w:rPr>
        <w:t>无预算不采购</w:t>
      </w:r>
      <w:r>
        <w:rPr>
          <w:rFonts w:ascii="仿宋_GB2312" w:eastAsia="仿宋_GB2312" w:hAnsi="仿宋_GB2312" w:cs="仿宋_GB2312"/>
          <w:color w:val="000000" w:themeColor="text1"/>
          <w:sz w:val="32"/>
          <w:szCs w:val="32"/>
        </w:rPr>
        <w:t>”</w:t>
      </w:r>
      <w:r>
        <w:rPr>
          <w:rFonts w:ascii="仿宋_GB2312" w:eastAsia="仿宋_GB2312" w:hAnsi="仿宋_GB2312" w:cs="仿宋_GB2312"/>
          <w:color w:val="000000" w:themeColor="text1"/>
          <w:sz w:val="32"/>
          <w:szCs w:val="32"/>
        </w:rPr>
        <w:t>政策。严肃政府采购预算的刚性约束，按照</w:t>
      </w:r>
      <w:r>
        <w:rPr>
          <w:rFonts w:ascii="仿宋_GB2312" w:eastAsia="仿宋_GB2312" w:hAnsi="仿宋_GB2312" w:cs="仿宋_GB2312"/>
          <w:color w:val="000000" w:themeColor="text1"/>
          <w:sz w:val="32"/>
          <w:szCs w:val="32"/>
        </w:rPr>
        <w:t>“</w:t>
      </w:r>
      <w:r>
        <w:rPr>
          <w:rFonts w:ascii="仿宋_GB2312" w:eastAsia="仿宋_GB2312" w:hAnsi="仿宋_GB2312" w:cs="仿宋_GB2312"/>
          <w:color w:val="000000" w:themeColor="text1"/>
          <w:sz w:val="32"/>
          <w:szCs w:val="32"/>
        </w:rPr>
        <w:t>先预算、后计划、再采购</w:t>
      </w:r>
      <w:r>
        <w:rPr>
          <w:rFonts w:ascii="仿宋_GB2312" w:eastAsia="仿宋_GB2312" w:hAnsi="仿宋_GB2312" w:cs="仿宋_GB2312"/>
          <w:color w:val="000000" w:themeColor="text1"/>
          <w:sz w:val="32"/>
          <w:szCs w:val="32"/>
        </w:rPr>
        <w:t>”</w:t>
      </w:r>
      <w:r>
        <w:rPr>
          <w:rFonts w:ascii="仿宋_GB2312" w:eastAsia="仿宋_GB2312" w:hAnsi="仿宋_GB2312" w:cs="仿宋_GB2312"/>
          <w:color w:val="000000" w:themeColor="text1"/>
          <w:sz w:val="32"/>
          <w:szCs w:val="32"/>
        </w:rPr>
        <w:t>的工作程序开展采购相关工作。未编制政府采购预算的，不得备案采购计划，不得开展采购活动，不得支付采购资金。</w:t>
      </w:r>
      <w:r>
        <w:rPr>
          <w:rFonts w:ascii="仿宋_GB2312" w:eastAsia="仿宋_GB2312" w:hAnsi="仿宋_GB2312" w:cs="仿宋_GB2312"/>
          <w:b/>
          <w:bCs/>
          <w:color w:val="000000" w:themeColor="text1"/>
          <w:sz w:val="32"/>
          <w:szCs w:val="32"/>
        </w:rPr>
        <w:t>二是</w:t>
      </w:r>
      <w:r>
        <w:rPr>
          <w:rFonts w:ascii="仿宋_GB2312" w:eastAsia="仿宋_GB2312" w:hAnsi="仿宋_GB2312" w:cs="仿宋_GB2312"/>
          <w:color w:val="000000" w:themeColor="text1"/>
          <w:sz w:val="32"/>
          <w:szCs w:val="32"/>
        </w:rPr>
        <w:t>全面完整编制政府采购预算。单位（部门）使用财政拨款资金</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color w:val="000000" w:themeColor="text1"/>
          <w:sz w:val="32"/>
          <w:szCs w:val="32"/>
        </w:rPr>
        <w:t>单位资金，采购集中采购目录以内或采购限额标准以上的货物、工程和服务项目的，均应编制政府采购预算。</w:t>
      </w:r>
      <w:r>
        <w:rPr>
          <w:rFonts w:ascii="仿宋_GB2312" w:eastAsia="仿宋_GB2312" w:hAnsi="仿宋_GB2312" w:cs="仿宋_GB2312"/>
          <w:b/>
          <w:bCs/>
          <w:color w:val="000000" w:themeColor="text1"/>
          <w:sz w:val="32"/>
          <w:szCs w:val="32"/>
        </w:rPr>
        <w:t>三是</w:t>
      </w:r>
      <w:r>
        <w:rPr>
          <w:rFonts w:ascii="仿宋_GB2312" w:eastAsia="仿宋_GB2312" w:hAnsi="仿宋_GB2312" w:cs="仿宋_GB2312"/>
          <w:b/>
          <w:bCs/>
          <w:color w:val="000000" w:themeColor="text1"/>
          <w:sz w:val="32"/>
          <w:szCs w:val="32"/>
        </w:rPr>
        <w:t>400</w:t>
      </w:r>
      <w:r>
        <w:rPr>
          <w:rFonts w:ascii="仿宋_GB2312" w:eastAsia="仿宋_GB2312" w:hAnsi="仿宋_GB2312" w:cs="仿宋_GB2312"/>
          <w:b/>
          <w:bCs/>
          <w:color w:val="000000" w:themeColor="text1"/>
          <w:sz w:val="32"/>
          <w:szCs w:val="32"/>
        </w:rPr>
        <w:t>万元以上依法招标工程项目</w:t>
      </w:r>
      <w:r>
        <w:rPr>
          <w:rFonts w:ascii="仿宋_GB2312" w:eastAsia="仿宋_GB2312" w:hAnsi="仿宋_GB2312" w:cs="仿宋_GB2312"/>
          <w:color w:val="000000" w:themeColor="text1"/>
          <w:sz w:val="32"/>
          <w:szCs w:val="32"/>
        </w:rPr>
        <w:t>（即适用《中华人民共和国招标投标法》的工程项目），</w:t>
      </w:r>
      <w:r>
        <w:rPr>
          <w:rFonts w:ascii="仿宋_GB2312" w:eastAsia="仿宋_GB2312" w:hAnsi="仿宋_GB2312" w:cs="仿宋_GB2312"/>
          <w:b/>
          <w:bCs/>
          <w:color w:val="000000" w:themeColor="text1"/>
          <w:sz w:val="32"/>
          <w:szCs w:val="32"/>
        </w:rPr>
        <w:t>不再需要编制政府采购预算</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b/>
          <w:bCs/>
          <w:color w:val="000000" w:themeColor="text1"/>
          <w:sz w:val="32"/>
          <w:szCs w:val="32"/>
        </w:rPr>
        <w:t>四是</w:t>
      </w:r>
      <w:r>
        <w:rPr>
          <w:rFonts w:ascii="仿宋_GB2312" w:eastAsia="仿宋_GB2312" w:hAnsi="仿宋_GB2312" w:cs="仿宋_GB2312" w:hint="eastAsia"/>
          <w:color w:val="000000" w:themeColor="text1"/>
          <w:sz w:val="32"/>
          <w:szCs w:val="32"/>
        </w:rPr>
        <w:t>经判断属于省级财政资金（不含财政专户管理资金和单位资</w:t>
      </w:r>
      <w:r>
        <w:rPr>
          <w:rFonts w:ascii="仿宋_GB2312" w:eastAsia="仿宋_GB2312" w:hAnsi="仿宋_GB2312" w:cs="仿宋_GB2312" w:hint="eastAsia"/>
          <w:color w:val="000000" w:themeColor="text1"/>
          <w:sz w:val="32"/>
          <w:szCs w:val="32"/>
        </w:rPr>
        <w:lastRenderedPageBreak/>
        <w:t>金）保障范围的跨年度付款采购项目，应按照项目实施进度或支付进度，分年度编列政府采购预算，实现</w:t>
      </w:r>
      <w:r>
        <w:rPr>
          <w:rFonts w:ascii="仿宋_GB2312" w:eastAsia="仿宋_GB2312" w:hAnsi="仿宋_GB2312" w:cs="仿宋_GB2312" w:hint="eastAsia"/>
          <w:b/>
          <w:bCs/>
          <w:color w:val="000000" w:themeColor="text1"/>
          <w:sz w:val="32"/>
          <w:szCs w:val="32"/>
        </w:rPr>
        <w:t>“一次采购，分年支付”</w:t>
      </w:r>
      <w:r>
        <w:rPr>
          <w:rFonts w:ascii="仿宋_GB2312" w:eastAsia="仿宋_GB2312" w:hAnsi="仿宋_GB2312" w:cs="仿宋_GB2312" w:hint="eastAsia"/>
          <w:color w:val="000000" w:themeColor="text1"/>
          <w:sz w:val="32"/>
          <w:szCs w:val="32"/>
        </w:rPr>
        <w:t>。属于省级财政资金保障范围的项目原则上应满足以下条件：中央或省委省政府有明确要求省级财政保障；政府投资项目决策评估报告明确省级出资；已列入三年支出规划批复；已经财政评审认定。</w:t>
      </w:r>
      <w:r>
        <w:rPr>
          <w:rFonts w:ascii="仿宋_GB2312" w:eastAsia="仿宋_GB2312" w:hAnsi="仿宋_GB2312" w:cs="仿宋_GB2312" w:hint="eastAsia"/>
          <w:b/>
          <w:bCs/>
          <w:color w:val="000000" w:themeColor="text1"/>
          <w:sz w:val="32"/>
          <w:szCs w:val="32"/>
        </w:rPr>
        <w:t>五是</w:t>
      </w:r>
      <w:r>
        <w:rPr>
          <w:rFonts w:ascii="仿宋_GB2312" w:eastAsia="仿宋_GB2312" w:hAnsi="仿宋_GB2312" w:cs="仿宋_GB2312" w:hint="eastAsia"/>
          <w:color w:val="000000" w:themeColor="text1"/>
          <w:sz w:val="32"/>
          <w:szCs w:val="32"/>
        </w:rPr>
        <w:t>应根据同类项目历史成交结果和实际工作职责任务需要，提前做好需求论证和市场调研，按照科学合理、厉行节约的原则编制政府采购预算，政府采购预算应细化编制到货物、工程、服务类别和面向中小企业预留份额，并逐步细化到具体品目、单价、数量、规格等。</w:t>
      </w:r>
    </w:p>
    <w:p w:rsidR="00AA3805" w:rsidRDefault="00C436BB" w:rsidP="0005329C">
      <w:pPr>
        <w:spacing w:line="590" w:lineRule="exact"/>
        <w:ind w:firstLineChars="200" w:firstLine="641"/>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9.</w:t>
      </w:r>
      <w:r>
        <w:rPr>
          <w:rFonts w:ascii="仿宋_GB2312" w:eastAsia="仿宋_GB2312" w:hAnsi="仿宋_GB2312" w:cs="仿宋_GB2312"/>
          <w:b/>
          <w:bCs/>
          <w:color w:val="000000" w:themeColor="text1"/>
          <w:sz w:val="32"/>
          <w:szCs w:val="32"/>
        </w:rPr>
        <w:t>认真落实政府购买服务政策</w:t>
      </w:r>
      <w:r>
        <w:rPr>
          <w:rFonts w:ascii="仿宋_GB2312" w:eastAsia="仿宋_GB2312" w:hAnsi="仿宋_GB2312" w:cs="仿宋_GB2312" w:hint="eastAsia"/>
          <w:b/>
          <w:bCs/>
          <w:color w:val="000000" w:themeColor="text1"/>
          <w:sz w:val="32"/>
          <w:szCs w:val="32"/>
        </w:rPr>
        <w:t>。</w:t>
      </w:r>
      <w:r>
        <w:rPr>
          <w:rFonts w:ascii="仿宋_GB2312" w:eastAsia="仿宋_GB2312" w:hAnsi="仿宋_GB2312" w:cs="仿宋_GB2312"/>
          <w:color w:val="000000" w:themeColor="text1"/>
          <w:sz w:val="32"/>
          <w:szCs w:val="32"/>
        </w:rPr>
        <w:t>一是明确政府购买服务的内容。属于政府职责范围、适合采取市场化方式提供、社会力量能够承担的服务事项，可进行政府购买服务，不得将《政府购买服务管理办法》（中华人民共和国财政部第</w:t>
      </w:r>
      <w:r>
        <w:rPr>
          <w:rFonts w:ascii="仿宋_GB2312" w:eastAsia="仿宋_GB2312" w:hAnsi="仿宋_GB2312" w:cs="仿宋_GB2312"/>
          <w:color w:val="000000" w:themeColor="text1"/>
          <w:sz w:val="32"/>
          <w:szCs w:val="32"/>
        </w:rPr>
        <w:t>102</w:t>
      </w:r>
      <w:r>
        <w:rPr>
          <w:rFonts w:ascii="仿宋_GB2312" w:eastAsia="仿宋_GB2312" w:hAnsi="仿宋_GB2312" w:cs="仿宋_GB2312"/>
          <w:color w:val="000000" w:themeColor="text1"/>
          <w:sz w:val="32"/>
          <w:szCs w:val="32"/>
        </w:rPr>
        <w:t>号令）中明确的六类事项纳入政府购买服务范围。二是明确政府购买服务的购</w:t>
      </w:r>
      <w:r>
        <w:rPr>
          <w:rFonts w:ascii="仿宋_GB2312" w:eastAsia="仿宋_GB2312" w:hAnsi="仿宋_GB2312" w:cs="仿宋_GB2312"/>
          <w:color w:val="000000" w:themeColor="text1"/>
          <w:sz w:val="32"/>
          <w:szCs w:val="32"/>
        </w:rPr>
        <w:t>买主体和承接主体。各级国家机关是政府购买服务的购买主体，公益一类事业单位、使用事业编制且由财政拨款保障的群团组织，不得作为政府购买服务的购买主体和承接主体。</w:t>
      </w:r>
      <w:r>
        <w:rPr>
          <w:rFonts w:ascii="仿宋_GB2312" w:eastAsia="仿宋_GB2312" w:hAnsi="仿宋_GB2312" w:cs="仿宋_GB2312" w:hint="eastAsia"/>
          <w:color w:val="000000" w:themeColor="text1"/>
          <w:sz w:val="32"/>
          <w:szCs w:val="32"/>
        </w:rPr>
        <w:t>三是深入推进政府向公益二类事业单位购买服务改革，纳入改革的政府购买服务项目原则上通过竞争择优方式确定服务承接主体，必须由公益二类事业单位承担且不适合通过市场化方式</w:t>
      </w:r>
      <w:r>
        <w:rPr>
          <w:rFonts w:ascii="仿宋_GB2312" w:eastAsia="仿宋_GB2312" w:hAnsi="仿宋_GB2312" w:cs="仿宋_GB2312" w:hint="eastAsia"/>
          <w:color w:val="000000" w:themeColor="text1"/>
          <w:sz w:val="32"/>
          <w:szCs w:val="32"/>
        </w:rPr>
        <w:lastRenderedPageBreak/>
        <w:t>提供的服务事项，不纳入政府购买服务改革范围。四</w:t>
      </w:r>
      <w:r>
        <w:rPr>
          <w:rFonts w:ascii="仿宋_GB2312" w:eastAsia="仿宋_GB2312" w:hAnsi="仿宋_GB2312" w:cs="仿宋_GB2312"/>
          <w:color w:val="000000" w:themeColor="text1"/>
          <w:sz w:val="32"/>
          <w:szCs w:val="32"/>
        </w:rPr>
        <w:t>是规范政府购买服务预算编制。政府购买服务支出要纳入预算，对预算未安排的事项，不得开展购买服务。</w:t>
      </w:r>
    </w:p>
    <w:p w:rsidR="00AA3805" w:rsidRDefault="00C436BB" w:rsidP="0005329C">
      <w:pPr>
        <w:spacing w:line="590" w:lineRule="exact"/>
        <w:ind w:firstLineChars="200" w:firstLine="641"/>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10.</w:t>
      </w:r>
      <w:r>
        <w:rPr>
          <w:rFonts w:ascii="仿宋_GB2312" w:eastAsia="仿宋_GB2312" w:hAnsi="仿宋_GB2312" w:cs="仿宋_GB2312" w:hint="eastAsia"/>
          <w:b/>
          <w:bCs/>
          <w:color w:val="000000" w:themeColor="text1"/>
          <w:sz w:val="32"/>
          <w:szCs w:val="32"/>
        </w:rPr>
        <w:t>规范高质量申报预算。</w:t>
      </w:r>
      <w:r>
        <w:rPr>
          <w:rFonts w:ascii="仿宋_GB2312" w:eastAsia="仿宋_GB2312" w:hAnsi="仿宋_GB2312" w:cs="仿宋_GB2312" w:hint="eastAsia"/>
          <w:color w:val="000000" w:themeColor="text1"/>
          <w:sz w:val="32"/>
          <w:szCs w:val="32"/>
        </w:rPr>
        <w:t>部门及单位在申报支出预算的过程中，要仔细核对申报预算的资金性质、支出管理方式是否正确，项目支出标准、绩效目标是否科学合理，资产配置预算、政府采购预算、政府购买服务预算等是否符合规定，支出功能分类科目、部门预算支出经济分类科目使用是否准确。其中：</w:t>
      </w:r>
      <w:r>
        <w:rPr>
          <w:rFonts w:ascii="仿宋_GB2312" w:eastAsia="仿宋_GB2312" w:hAnsi="仿宋_GB2312" w:cs="仿宋_GB2312" w:hint="eastAsia"/>
          <w:b/>
          <w:bCs/>
          <w:color w:val="000000" w:themeColor="text1"/>
          <w:sz w:val="32"/>
          <w:szCs w:val="32"/>
        </w:rPr>
        <w:t>（</w:t>
      </w:r>
      <w:r>
        <w:rPr>
          <w:rFonts w:ascii="仿宋_GB2312" w:eastAsia="仿宋_GB2312" w:hAnsi="仿宋_GB2312" w:cs="仿宋_GB2312" w:hint="eastAsia"/>
          <w:b/>
          <w:bCs/>
          <w:color w:val="000000" w:themeColor="text1"/>
          <w:sz w:val="32"/>
          <w:szCs w:val="32"/>
        </w:rPr>
        <w:t>1</w:t>
      </w:r>
      <w:r>
        <w:rPr>
          <w:rFonts w:ascii="仿宋_GB2312" w:eastAsia="仿宋_GB2312" w:hAnsi="仿宋_GB2312" w:cs="仿宋_GB2312" w:hint="eastAsia"/>
          <w:b/>
          <w:bCs/>
          <w:color w:val="000000" w:themeColor="text1"/>
          <w:sz w:val="32"/>
          <w:szCs w:val="32"/>
        </w:rPr>
        <w:t>）财政一体化系统项目要素填报要准确。一是</w:t>
      </w:r>
      <w:r>
        <w:rPr>
          <w:rFonts w:ascii="仿宋_GB2312" w:eastAsia="仿宋_GB2312" w:hAnsi="仿宋_GB2312" w:cs="仿宋_GB2312" w:hint="eastAsia"/>
          <w:color w:val="000000" w:themeColor="text1"/>
          <w:sz w:val="32"/>
          <w:szCs w:val="32"/>
        </w:rPr>
        <w:t>扩展信息必须准确简要填报，其中：政策依据应按照“根据《</w:t>
      </w:r>
      <w:r>
        <w:rPr>
          <w:rFonts w:ascii="仿宋_GB2312" w:eastAsia="仿宋_GB2312" w:hAnsi="仿宋_GB2312" w:cs="仿宋_GB2312" w:hint="eastAsia"/>
          <w:color w:val="000000" w:themeColor="text1"/>
          <w:sz w:val="32"/>
          <w:szCs w:val="32"/>
        </w:rPr>
        <w:t>XXXX</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号）文件，……（具体内容）”逐项填报；资金需求按照“</w:t>
      </w:r>
      <w:r>
        <w:rPr>
          <w:rFonts w:ascii="仿宋_GB2312" w:eastAsia="仿宋_GB2312" w:hAnsi="仿宋_GB2312" w:cs="仿宋_GB2312"/>
          <w:color w:val="000000" w:themeColor="text1"/>
          <w:sz w:val="32"/>
          <w:szCs w:val="32"/>
        </w:rPr>
        <w:t>202</w:t>
      </w:r>
      <w:r>
        <w:rPr>
          <w:rFonts w:ascii="仿宋_GB2312" w:eastAsia="仿宋_GB2312" w:hAnsi="仿宋_GB2312" w:cs="仿宋_GB2312" w:hint="eastAsia"/>
          <w:color w:val="000000" w:themeColor="text1"/>
          <w:sz w:val="32"/>
          <w:szCs w:val="32"/>
        </w:rPr>
        <w:t>6</w:t>
      </w:r>
      <w:r>
        <w:rPr>
          <w:rFonts w:ascii="仿宋_GB2312" w:eastAsia="仿宋_GB2312" w:hAnsi="仿宋_GB2312" w:cs="仿宋_GB2312"/>
          <w:color w:val="000000" w:themeColor="text1"/>
          <w:sz w:val="32"/>
          <w:szCs w:val="32"/>
        </w:rPr>
        <w:t>-202</w:t>
      </w:r>
      <w:r>
        <w:rPr>
          <w:rFonts w:ascii="仿宋_GB2312" w:eastAsia="仿宋_GB2312" w:hAnsi="仿宋_GB2312" w:cs="仿宋_GB2312" w:hint="eastAsia"/>
          <w:color w:val="000000" w:themeColor="text1"/>
          <w:sz w:val="32"/>
          <w:szCs w:val="32"/>
        </w:rPr>
        <w:t>8</w:t>
      </w:r>
      <w:r>
        <w:rPr>
          <w:rFonts w:ascii="仿宋_GB2312" w:eastAsia="仿宋_GB2312" w:hAnsi="仿宋_GB2312" w:cs="仿宋_GB2312" w:hint="eastAsia"/>
          <w:color w:val="000000" w:themeColor="text1"/>
          <w:sz w:val="32"/>
          <w:szCs w:val="32"/>
        </w:rPr>
        <w:t>年资金总需求</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万元，其中：</w:t>
      </w:r>
      <w:r>
        <w:rPr>
          <w:rFonts w:ascii="仿宋_GB2312" w:eastAsia="仿宋_GB2312" w:hAnsi="仿宋_GB2312" w:cs="仿宋_GB2312" w:hint="eastAsia"/>
          <w:color w:val="000000" w:themeColor="text1"/>
          <w:sz w:val="32"/>
          <w:szCs w:val="32"/>
        </w:rPr>
        <w:t>2026</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万元，……（细化测算）；</w:t>
      </w:r>
      <w:r>
        <w:rPr>
          <w:rFonts w:ascii="仿宋_GB2312" w:eastAsia="仿宋_GB2312" w:hAnsi="仿宋_GB2312" w:cs="仿宋_GB2312" w:hint="eastAsia"/>
          <w:color w:val="000000" w:themeColor="text1"/>
          <w:sz w:val="32"/>
          <w:szCs w:val="32"/>
        </w:rPr>
        <w:t>202</w:t>
      </w:r>
      <w:r>
        <w:rPr>
          <w:rFonts w:ascii="仿宋_GB2312" w:eastAsia="仿宋_GB2312" w:hAnsi="仿宋_GB2312" w:cs="仿宋_GB2312" w:hint="eastAsia"/>
          <w:color w:val="000000" w:themeColor="text1"/>
          <w:sz w:val="32"/>
          <w:szCs w:val="32"/>
        </w:rPr>
        <w:t>7</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万元，……（细化测算）；</w:t>
      </w:r>
      <w:r>
        <w:rPr>
          <w:rFonts w:ascii="仿宋_GB2312" w:eastAsia="仿宋_GB2312" w:hAnsi="仿宋_GB2312" w:cs="仿宋_GB2312" w:hint="eastAsia"/>
          <w:color w:val="000000" w:themeColor="text1"/>
          <w:sz w:val="32"/>
          <w:szCs w:val="32"/>
        </w:rPr>
        <w:t>2028</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万元，……（细化测算）”等。</w:t>
      </w:r>
      <w:r>
        <w:rPr>
          <w:rFonts w:ascii="仿宋_GB2312" w:eastAsia="仿宋_GB2312" w:hAnsi="仿宋_GB2312" w:cs="仿宋_GB2312" w:hint="eastAsia"/>
          <w:b/>
          <w:bCs/>
          <w:color w:val="000000" w:themeColor="text1"/>
          <w:sz w:val="32"/>
          <w:szCs w:val="32"/>
        </w:rPr>
        <w:t>二是</w:t>
      </w:r>
      <w:r>
        <w:rPr>
          <w:rFonts w:ascii="仿宋_GB2312" w:eastAsia="仿宋_GB2312" w:hAnsi="仿宋_GB2312" w:cs="仿宋_GB2312" w:hint="eastAsia"/>
          <w:color w:val="000000" w:themeColor="text1"/>
          <w:sz w:val="32"/>
          <w:szCs w:val="32"/>
        </w:rPr>
        <w:t>省级专项资金、单位资金，终审处室应为“编审处”，资金来源性质为“部门预算批复”；中央资金和国资预算，终审处室应为“预算处”，资金来源性质为“一般转移支付资金”。</w:t>
      </w:r>
      <w:r>
        <w:rPr>
          <w:rFonts w:ascii="仿宋_GB2312" w:eastAsia="仿宋_GB2312" w:hAnsi="仿宋_GB2312" w:cs="仿宋_GB2312" w:hint="eastAsia"/>
          <w:b/>
          <w:bCs/>
          <w:color w:val="000000" w:themeColor="text1"/>
          <w:sz w:val="32"/>
          <w:szCs w:val="32"/>
        </w:rPr>
        <w:t>三是</w:t>
      </w:r>
      <w:r>
        <w:rPr>
          <w:rFonts w:ascii="仿宋_GB2312" w:eastAsia="仿宋_GB2312" w:hAnsi="仿宋_GB2312" w:cs="仿宋_GB2312" w:hint="eastAsia"/>
          <w:color w:val="000000" w:themeColor="text1"/>
          <w:sz w:val="32"/>
          <w:szCs w:val="32"/>
        </w:rPr>
        <w:t>支出属性，林业草原改革发展资金和林业草原生态保护恢复资金为“专项资金”，林业事务管理经费、单位资金、非税成本性支出等为“部门自用”。</w:t>
      </w:r>
      <w:r>
        <w:rPr>
          <w:rFonts w:ascii="仿宋_GB2312" w:eastAsia="仿宋_GB2312" w:hAnsi="仿宋_GB2312" w:cs="仿宋_GB2312" w:hint="eastAsia"/>
          <w:b/>
          <w:bCs/>
          <w:color w:val="000000" w:themeColor="text1"/>
          <w:sz w:val="32"/>
          <w:szCs w:val="32"/>
        </w:rPr>
        <w:t>（</w:t>
      </w:r>
      <w:r>
        <w:rPr>
          <w:rFonts w:ascii="仿宋_GB2312" w:eastAsia="仿宋_GB2312" w:hAnsi="仿宋_GB2312" w:cs="仿宋_GB2312" w:hint="eastAsia"/>
          <w:b/>
          <w:bCs/>
          <w:color w:val="000000" w:themeColor="text1"/>
          <w:sz w:val="32"/>
          <w:szCs w:val="32"/>
        </w:rPr>
        <w:t>2</w:t>
      </w:r>
      <w:r>
        <w:rPr>
          <w:rFonts w:ascii="仿宋_GB2312" w:eastAsia="仿宋_GB2312" w:hAnsi="仿宋_GB2312" w:cs="仿宋_GB2312" w:hint="eastAsia"/>
          <w:b/>
          <w:bCs/>
          <w:color w:val="000000" w:themeColor="text1"/>
          <w:sz w:val="32"/>
          <w:szCs w:val="32"/>
        </w:rPr>
        <w:t>）财政预算一体化附件要准确完整填报。一是</w:t>
      </w:r>
      <w:r>
        <w:rPr>
          <w:rFonts w:ascii="仿宋_GB2312" w:eastAsia="仿宋_GB2312" w:hAnsi="仿宋_GB2312" w:cs="仿宋_GB2312" w:hint="eastAsia"/>
          <w:color w:val="000000" w:themeColor="text1"/>
          <w:sz w:val="32"/>
          <w:szCs w:val="32"/>
        </w:rPr>
        <w:t>系统滚动项目，需再次检查上传依据规范性，确保依据名称</w:t>
      </w:r>
      <w:r>
        <w:rPr>
          <w:rFonts w:ascii="仿宋_GB2312" w:eastAsia="仿宋_GB2312" w:hAnsi="仿宋_GB2312" w:cs="仿宋_GB2312" w:hint="eastAsia"/>
          <w:color w:val="000000" w:themeColor="text1"/>
          <w:sz w:val="32"/>
          <w:szCs w:val="32"/>
        </w:rPr>
        <w:lastRenderedPageBreak/>
        <w:t>规范、依据与项目相关，上传类别准确等，不规范的需重新完善修改。</w:t>
      </w:r>
      <w:r>
        <w:rPr>
          <w:rFonts w:ascii="仿宋_GB2312" w:eastAsia="仿宋_GB2312" w:hAnsi="仿宋_GB2312" w:cs="仿宋_GB2312" w:hint="eastAsia"/>
          <w:b/>
          <w:bCs/>
          <w:color w:val="000000" w:themeColor="text1"/>
          <w:sz w:val="32"/>
          <w:szCs w:val="32"/>
        </w:rPr>
        <w:t>二是</w:t>
      </w:r>
      <w:r>
        <w:rPr>
          <w:rFonts w:ascii="仿宋_GB2312" w:eastAsia="仿宋_GB2312" w:hAnsi="仿宋_GB2312" w:cs="仿宋_GB2312" w:hint="eastAsia"/>
          <w:color w:val="000000" w:themeColor="text1"/>
          <w:sz w:val="32"/>
          <w:szCs w:val="32"/>
        </w:rPr>
        <w:t>必传附件为：</w:t>
      </w:r>
      <w:r>
        <w:rPr>
          <w:rFonts w:ascii="仿宋_GB2312" w:eastAsia="仿宋_GB2312" w:hAnsi="仿宋_GB2312" w:cs="仿宋_GB2312" w:hint="eastAsia"/>
          <w:color w:val="000000" w:themeColor="text1"/>
          <w:sz w:val="32"/>
          <w:szCs w:val="32"/>
        </w:rPr>
        <w:t>[01]</w:t>
      </w:r>
      <w:r>
        <w:rPr>
          <w:rFonts w:ascii="仿宋_GB2312" w:eastAsia="仿宋_GB2312" w:hAnsi="仿宋_GB2312" w:cs="仿宋_GB2312" w:hint="eastAsia"/>
          <w:color w:val="000000" w:themeColor="text1"/>
          <w:sz w:val="32"/>
          <w:szCs w:val="32"/>
        </w:rPr>
        <w:t>项目申请政策依据：要求上传文件与扩展信息保持一致；</w:t>
      </w:r>
      <w:r>
        <w:rPr>
          <w:rFonts w:ascii="仿宋_GB2312" w:eastAsia="仿宋_GB2312" w:hAnsi="仿宋_GB2312" w:cs="仿宋_GB2312" w:hint="eastAsia"/>
          <w:color w:val="000000" w:themeColor="text1"/>
          <w:sz w:val="32"/>
          <w:szCs w:val="32"/>
        </w:rPr>
        <w:t>[02]</w:t>
      </w:r>
      <w:r>
        <w:rPr>
          <w:rFonts w:ascii="仿宋_GB2312" w:eastAsia="仿宋_GB2312" w:hAnsi="仿宋_GB2312" w:cs="仿宋_GB2312" w:hint="eastAsia"/>
          <w:color w:val="000000" w:themeColor="text1"/>
          <w:sz w:val="32"/>
          <w:szCs w:val="32"/>
        </w:rPr>
        <w:t>项目可行性论证：至少应上传盖章的项目申报建议书；</w:t>
      </w:r>
      <w:r>
        <w:rPr>
          <w:rFonts w:ascii="仿宋_GB2312" w:eastAsia="仿宋_GB2312" w:hAnsi="仿宋_GB2312" w:cs="仿宋_GB2312" w:hint="eastAsia"/>
          <w:color w:val="000000" w:themeColor="text1"/>
          <w:sz w:val="32"/>
          <w:szCs w:val="32"/>
        </w:rPr>
        <w:t>[04]</w:t>
      </w:r>
      <w:r>
        <w:rPr>
          <w:rFonts w:ascii="仿宋_GB2312" w:eastAsia="仿宋_GB2312" w:hAnsi="仿宋_GB2312" w:cs="仿宋_GB2312" w:hint="eastAsia"/>
          <w:color w:val="000000" w:themeColor="text1"/>
          <w:sz w:val="32"/>
          <w:szCs w:val="32"/>
        </w:rPr>
        <w:t>部门（单位）项目论证评审材料：应上传单位上报红头文件以及省林业局综合评审意见、党组会议纪要等；</w:t>
      </w:r>
      <w:r>
        <w:rPr>
          <w:rFonts w:ascii="仿宋_GB2312" w:eastAsia="仿宋_GB2312" w:hAnsi="仿宋_GB2312" w:cs="仿宋_GB2312" w:hint="eastAsia"/>
          <w:color w:val="000000" w:themeColor="text1"/>
          <w:sz w:val="32"/>
          <w:szCs w:val="32"/>
        </w:rPr>
        <w:t>[05]</w:t>
      </w:r>
      <w:r>
        <w:rPr>
          <w:rFonts w:ascii="仿宋_GB2312" w:eastAsia="仿宋_GB2312" w:hAnsi="仿宋_GB2312" w:cs="仿宋_GB2312" w:hint="eastAsia"/>
          <w:color w:val="000000" w:themeColor="text1"/>
          <w:sz w:val="32"/>
          <w:szCs w:val="32"/>
        </w:rPr>
        <w:t>资金管理办法及配套文件制度：应对应上传专项资金管理办法或单位内部控制制度等；</w:t>
      </w:r>
      <w:r>
        <w:rPr>
          <w:rFonts w:ascii="仿宋_GB2312" w:eastAsia="仿宋_GB2312" w:hAnsi="仿宋_GB2312" w:cs="仿宋_GB2312" w:hint="eastAsia"/>
          <w:color w:val="000000" w:themeColor="text1"/>
          <w:sz w:val="32"/>
          <w:szCs w:val="32"/>
        </w:rPr>
        <w:t>[22]</w:t>
      </w:r>
      <w:r>
        <w:rPr>
          <w:rFonts w:ascii="仿宋_GB2312" w:eastAsia="仿宋_GB2312" w:hAnsi="仿宋_GB2312" w:cs="仿宋_GB2312" w:hint="eastAsia"/>
          <w:color w:val="000000" w:themeColor="text1"/>
          <w:sz w:val="32"/>
          <w:szCs w:val="32"/>
        </w:rPr>
        <w:t>申请依据附件：至少应上传盖章的项目申报建议书。</w:t>
      </w:r>
      <w:r>
        <w:rPr>
          <w:rFonts w:ascii="仿宋_GB2312" w:eastAsia="仿宋_GB2312" w:hAnsi="仿宋_GB2312" w:cs="仿宋_GB2312" w:hint="eastAsia"/>
          <w:b/>
          <w:bCs/>
          <w:color w:val="000000" w:themeColor="text1"/>
          <w:sz w:val="32"/>
          <w:szCs w:val="32"/>
        </w:rPr>
        <w:t>三是</w:t>
      </w:r>
      <w:r>
        <w:rPr>
          <w:rFonts w:ascii="仿宋_GB2312" w:eastAsia="仿宋_GB2312" w:hAnsi="仿宋_GB2312" w:cs="仿宋_GB2312" w:hint="eastAsia"/>
          <w:color w:val="000000" w:themeColor="text1"/>
          <w:sz w:val="32"/>
          <w:szCs w:val="32"/>
        </w:rPr>
        <w:t>封面是否重大政策项目选“</w:t>
      </w:r>
      <w:r>
        <w:rPr>
          <w:rFonts w:ascii="仿宋_GB2312" w:eastAsia="仿宋_GB2312" w:hAnsi="仿宋_GB2312" w:cs="仿宋_GB2312" w:hint="eastAsia"/>
          <w:color w:val="000000" w:themeColor="text1"/>
          <w:sz w:val="32"/>
          <w:szCs w:val="32"/>
        </w:rPr>
        <w:t>是”，需上传</w:t>
      </w:r>
      <w:r>
        <w:rPr>
          <w:rFonts w:ascii="仿宋_GB2312" w:eastAsia="仿宋_GB2312" w:hAnsi="仿宋_GB2312" w:cs="仿宋_GB2312" w:hint="eastAsia"/>
          <w:color w:val="000000" w:themeColor="text1"/>
          <w:sz w:val="32"/>
          <w:szCs w:val="32"/>
        </w:rPr>
        <w:t>[21]</w:t>
      </w:r>
      <w:r>
        <w:rPr>
          <w:rFonts w:ascii="仿宋_GB2312" w:eastAsia="仿宋_GB2312" w:hAnsi="仿宋_GB2312" w:cs="仿宋_GB2312" w:hint="eastAsia"/>
          <w:color w:val="000000" w:themeColor="text1"/>
          <w:sz w:val="32"/>
          <w:szCs w:val="32"/>
        </w:rPr>
        <w:t>事前绩效评估报告；封面是否国家和省既定政策项目选“否”，需上传</w:t>
      </w:r>
      <w:r>
        <w:rPr>
          <w:rFonts w:ascii="仿宋_GB2312" w:eastAsia="仿宋_GB2312" w:hAnsi="仿宋_GB2312" w:cs="仿宋_GB2312" w:hint="eastAsia"/>
          <w:color w:val="000000" w:themeColor="text1"/>
          <w:sz w:val="32"/>
          <w:szCs w:val="32"/>
        </w:rPr>
        <w:t>[20]</w:t>
      </w:r>
      <w:r>
        <w:rPr>
          <w:rFonts w:ascii="仿宋_GB2312" w:eastAsia="仿宋_GB2312" w:hAnsi="仿宋_GB2312" w:cs="仿宋_GB2312" w:hint="eastAsia"/>
          <w:color w:val="000000" w:themeColor="text1"/>
          <w:sz w:val="32"/>
          <w:szCs w:val="32"/>
        </w:rPr>
        <w:t>项目评审情况。（五）</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（二）对下转移支付（省对下）</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原则上各市（州）林业局申报</w:t>
      </w:r>
      <w:r>
        <w:rPr>
          <w:rFonts w:ascii="仿宋_GB2312" w:eastAsia="仿宋_GB2312" w:hAnsi="仿宋_GB2312" w:cs="仿宋_GB2312" w:hint="eastAsia"/>
          <w:color w:val="000000" w:themeColor="text1"/>
          <w:sz w:val="32"/>
          <w:szCs w:val="32"/>
        </w:rPr>
        <w:t>2026</w:t>
      </w:r>
      <w:r>
        <w:rPr>
          <w:rFonts w:ascii="仿宋_GB2312" w:eastAsia="仿宋_GB2312" w:hAnsi="仿宋_GB2312" w:cs="仿宋_GB2312" w:hint="eastAsia"/>
          <w:color w:val="000000" w:themeColor="text1"/>
          <w:sz w:val="32"/>
          <w:szCs w:val="32"/>
        </w:rPr>
        <w:t>年预算规模不得超过上年度批复规模的</w:t>
      </w:r>
      <w:r>
        <w:rPr>
          <w:rFonts w:ascii="仿宋_GB2312" w:eastAsia="仿宋_GB2312" w:hAnsi="仿宋_GB2312" w:cs="仿宋_GB2312" w:hint="eastAsia"/>
          <w:color w:val="000000" w:themeColor="text1"/>
          <w:sz w:val="32"/>
          <w:szCs w:val="32"/>
        </w:rPr>
        <w:t>150%</w:t>
      </w:r>
      <w:r>
        <w:rPr>
          <w:rFonts w:ascii="仿宋_GB2312" w:eastAsia="仿宋_GB2312" w:hAnsi="仿宋_GB2312" w:cs="仿宋_GB2312" w:hint="eastAsia"/>
          <w:color w:val="000000" w:themeColor="text1"/>
          <w:sz w:val="32"/>
          <w:szCs w:val="32"/>
        </w:rPr>
        <w:t>。各市（州）可根据区域发展需求和项目实际情况，统筹本区域项目，在控制数内择优推荐。</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市（州）林业局要严格按照项目申报指南和申报建议书参考大纲（附件</w:t>
      </w: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）要求，认真审核把关项目，不在申报范围或未按要求报送的项目，一律不得送审。</w:t>
      </w:r>
    </w:p>
    <w:p w:rsidR="00AA3805" w:rsidRDefault="00C436BB">
      <w:pPr>
        <w:spacing w:line="590" w:lineRule="exact"/>
        <w:ind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（三）跨部门项目</w:t>
      </w:r>
    </w:p>
    <w:p w:rsidR="00AA3805" w:rsidRDefault="00C436BB">
      <w:pPr>
        <w:spacing w:line="57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1.</w:t>
      </w:r>
      <w:r>
        <w:rPr>
          <w:rFonts w:ascii="仿宋_GB2312" w:eastAsia="仿宋_GB2312" w:hAnsi="仿宋_GB2312" w:cs="仿宋_GB2312" w:hint="eastAsia"/>
          <w:b/>
          <w:bCs/>
          <w:color w:val="000000" w:themeColor="text1"/>
          <w:sz w:val="32"/>
          <w:szCs w:val="32"/>
        </w:rPr>
        <w:t>严格跨部门项目管理。</w:t>
      </w:r>
      <w:r>
        <w:rPr>
          <w:rFonts w:ascii="仿宋_GB2312" w:eastAsia="仿宋_GB2312" w:hAnsi="仿宋_GB2312" w:cs="仿宋_GB2312" w:hint="eastAsia"/>
          <w:color w:val="000000" w:themeColor="text1"/>
          <w:sz w:val="32"/>
          <w:szCs w:val="32"/>
        </w:rPr>
        <w:t>涉及跨部门项目的，对</w:t>
      </w:r>
      <w:r>
        <w:rPr>
          <w:rFonts w:ascii="仿宋_GB2312" w:eastAsia="仿宋_GB2312" w:hAnsi="仿宋_GB2312" w:cs="仿宋_GB2312" w:hint="eastAsia"/>
          <w:color w:val="000000" w:themeColor="text1"/>
          <w:sz w:val="32"/>
          <w:szCs w:val="32"/>
        </w:rPr>
        <w:t>口业务部门要加强项目审核和管理，建立项目管理台账，分配资金时要充分考虑项目资金上年结转结余规模以及项目前期准备情况，</w:t>
      </w:r>
      <w:r>
        <w:rPr>
          <w:rFonts w:ascii="仿宋_GB2312" w:eastAsia="仿宋_GB2312" w:hAnsi="仿宋_GB2312" w:cs="仿宋_GB2312" w:hint="eastAsia"/>
          <w:color w:val="000000" w:themeColor="text1"/>
          <w:sz w:val="32"/>
          <w:szCs w:val="32"/>
        </w:rPr>
        <w:lastRenderedPageBreak/>
        <w:t>不具备实施条件的不得分配资金，对分配到其他部门的项目进行持续跟踪管理，切忌“一分了之，一拨了之”。若要编制公益二类事业单位跨部门项目，需提供不属于市场化项目的理由依据。</w:t>
      </w:r>
    </w:p>
    <w:p w:rsidR="00AA3805" w:rsidRDefault="00C436BB">
      <w:pPr>
        <w:spacing w:line="570" w:lineRule="exact"/>
        <w:ind w:firstLine="640"/>
        <w:rPr>
          <w:rFonts w:ascii="方正仿宋_GB2312" w:eastAsia="方正仿宋_GB2312" w:hAnsi="方正仿宋_GB2312" w:cs="方正仿宋_GB2312"/>
          <w:sz w:val="32"/>
          <w:szCs w:val="32"/>
        </w:rPr>
      </w:pPr>
      <w:r>
        <w:rPr>
          <w:rFonts w:ascii="仿宋_GB2312" w:eastAsia="仿宋_GB2312" w:hAnsi="仿宋_GB2312" w:cs="仿宋_GB2312" w:hint="eastAsia"/>
          <w:b/>
          <w:bCs/>
          <w:color w:val="000000" w:themeColor="text1"/>
          <w:sz w:val="32"/>
          <w:szCs w:val="32"/>
        </w:rPr>
        <w:t>2.</w:t>
      </w:r>
      <w:r>
        <w:rPr>
          <w:rFonts w:ascii="仿宋_GB2312" w:eastAsia="仿宋_GB2312" w:hAnsi="仿宋_GB2312" w:cs="仿宋_GB2312" w:hint="eastAsia"/>
          <w:b/>
          <w:bCs/>
          <w:color w:val="000000" w:themeColor="text1"/>
          <w:sz w:val="32"/>
          <w:szCs w:val="32"/>
        </w:rPr>
        <w:t>申报流程。</w:t>
      </w:r>
      <w:r>
        <w:rPr>
          <w:rFonts w:ascii="方正仿宋_GB2312" w:eastAsia="方正仿宋_GB2312" w:hAnsi="方正仿宋_GB2312" w:cs="方正仿宋_GB2312" w:hint="eastAsia"/>
          <w:sz w:val="32"/>
          <w:szCs w:val="32"/>
        </w:rPr>
        <w:t>跨部门项目，在项目申报阶段，按要求编制申报材料后，由资金分配部门代为申报。待局党组审议通过后，由财务处通过财政预算一体化下达二级项目至项目申报单位，由项目申报单位按照项目入库、“一上二上”流程编报预算。</w:t>
      </w:r>
    </w:p>
    <w:sectPr w:rsidR="00AA3805">
      <w:footerReference w:type="default" r:id="rId8"/>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6BB" w:rsidRDefault="00C436BB">
      <w:r>
        <w:separator/>
      </w:r>
    </w:p>
  </w:endnote>
  <w:endnote w:type="continuationSeparator" w:id="0">
    <w:p w:rsidR="00C436BB" w:rsidRDefault="00C43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8CA00E2D-A0AB-407D-A555-D903387B0FDD}"/>
  </w:font>
  <w:font w:name="方正小标宋简体">
    <w:panose1 w:val="02010601030101010101"/>
    <w:charset w:val="86"/>
    <w:family w:val="auto"/>
    <w:pitch w:val="variable"/>
    <w:sig w:usb0="00000001" w:usb1="080E0000" w:usb2="00000010" w:usb3="00000000" w:csb0="00040000" w:csb1="00000000"/>
    <w:embedRegular r:id="rId2" w:subsetted="1" w:fontKey="{4799905C-CEA5-46F5-8DD8-6A4330664604}"/>
  </w:font>
  <w:font w:name="方正仿宋_GB2312">
    <w:altName w:val="仿宋"/>
    <w:charset w:val="86"/>
    <w:family w:val="auto"/>
    <w:pitch w:val="default"/>
    <w:sig w:usb0="00000000" w:usb1="00000000" w:usb2="00000012" w:usb3="00000000" w:csb0="00040001" w:csb1="00000000"/>
    <w:embedRegular r:id="rId3" w:subsetted="1" w:fontKey="{F888C2C7-E2B8-40F7-8900-36823F170C49}"/>
  </w:font>
  <w:font w:name="楷体_GB2312">
    <w:charset w:val="86"/>
    <w:family w:val="auto"/>
    <w:pitch w:val="default"/>
    <w:sig w:usb0="00000001" w:usb1="080E0000" w:usb2="00000000" w:usb3="00000000" w:csb0="00040000" w:csb1="00000000"/>
    <w:embedRegular r:id="rId4" w:subsetted="1" w:fontKey="{AEB867AD-F735-42B3-B3D4-DC6627E88E29}"/>
  </w:font>
  <w:font w:name="仿宋_GB2312">
    <w:charset w:val="86"/>
    <w:family w:val="auto"/>
    <w:pitch w:val="default"/>
    <w:sig w:usb0="00000001" w:usb1="080E0000" w:usb2="00000000" w:usb3="00000000" w:csb0="00040000" w:csb1="00000000"/>
    <w:embedRegular r:id="rId5" w:subsetted="1" w:fontKey="{48E7943E-4BB8-4C05-8A18-2BD58DE9C299}"/>
    <w:embedBold r:id="rId6" w:subsetted="1" w:fontKey="{7644202B-E962-47F6-B142-C3C65FCA0A29}"/>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805" w:rsidRDefault="00C436BB">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-294005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A3805" w:rsidRDefault="00C436BB">
                          <w:pPr>
                            <w:pStyle w:val="a3"/>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05329C">
                            <w:rPr>
                              <w:rFonts w:ascii="宋体" w:eastAsia="宋体" w:hAnsi="宋体" w:cs="宋体"/>
                              <w:noProof/>
                              <w:sz w:val="28"/>
                              <w:szCs w:val="28"/>
                            </w:rPr>
                            <w:t>1</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r>
                            <w:rPr>
                              <w:rFonts w:ascii="宋体" w:eastAsia="宋体" w:hAnsi="宋体" w:cs="宋体"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23.15pt;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" filled="f" stroked="f" strokeweight=".5pt">
              <v:textbox style="mso-fit-shape-to-text:t" inset="0,0,0,0">
                <w:txbxContent>
                  <w:p w:rsidR="00AA3805" w:rsidRDefault="00C436BB">
                    <w:pPr>
                      <w:pStyle w:val="a3"/>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05329C">
                      <w:rPr>
                        <w:rFonts w:ascii="宋体" w:eastAsia="宋体" w:hAnsi="宋体" w:cs="宋体"/>
                        <w:noProof/>
                        <w:sz w:val="28"/>
                        <w:szCs w:val="28"/>
                      </w:rPr>
                      <w:t>1</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r>
                      <w:rPr>
                        <w:rFonts w:ascii="宋体" w:eastAsia="宋体" w:hAnsi="宋体" w:cs="宋体"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6BB" w:rsidRDefault="00C436BB">
      <w:r>
        <w:separator/>
      </w:r>
    </w:p>
  </w:footnote>
  <w:footnote w:type="continuationSeparator" w:id="0">
    <w:p w:rsidR="00C436BB" w:rsidRDefault="00C43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3ZjBhMTU4Y2RiMzVjMjc3Mzg3ZDA0NWIxZmRjY2YifQ=="/>
  </w:docVars>
  <w:rsids>
    <w:rsidRoot w:val="3A692E0D"/>
    <w:rsid w:val="0005329C"/>
    <w:rsid w:val="00AA3805"/>
    <w:rsid w:val="00C436BB"/>
    <w:rsid w:val="061E268A"/>
    <w:rsid w:val="08480718"/>
    <w:rsid w:val="0BAE12BB"/>
    <w:rsid w:val="0CC601FC"/>
    <w:rsid w:val="0D72286F"/>
    <w:rsid w:val="0DC43F13"/>
    <w:rsid w:val="10D0684C"/>
    <w:rsid w:val="130143BE"/>
    <w:rsid w:val="13126856"/>
    <w:rsid w:val="13427DB4"/>
    <w:rsid w:val="1347382D"/>
    <w:rsid w:val="139D4C36"/>
    <w:rsid w:val="17514A69"/>
    <w:rsid w:val="179B3F36"/>
    <w:rsid w:val="19916B7A"/>
    <w:rsid w:val="1A9D7FC6"/>
    <w:rsid w:val="1B920CDF"/>
    <w:rsid w:val="20A860B7"/>
    <w:rsid w:val="21EA27B2"/>
    <w:rsid w:val="23C14D25"/>
    <w:rsid w:val="24B351C4"/>
    <w:rsid w:val="292C0DEC"/>
    <w:rsid w:val="2A0D2E6E"/>
    <w:rsid w:val="2AD91CFD"/>
    <w:rsid w:val="2B9B22FF"/>
    <w:rsid w:val="2BDB3982"/>
    <w:rsid w:val="2D8F19F0"/>
    <w:rsid w:val="2E204D3E"/>
    <w:rsid w:val="2F7666EC"/>
    <w:rsid w:val="30183CF7"/>
    <w:rsid w:val="312A63FD"/>
    <w:rsid w:val="31B5579D"/>
    <w:rsid w:val="32EE219B"/>
    <w:rsid w:val="336359DD"/>
    <w:rsid w:val="37381826"/>
    <w:rsid w:val="3A666181"/>
    <w:rsid w:val="3A692E0D"/>
    <w:rsid w:val="3CE31410"/>
    <w:rsid w:val="3EED3431"/>
    <w:rsid w:val="42A37E74"/>
    <w:rsid w:val="43234C5C"/>
    <w:rsid w:val="463834B6"/>
    <w:rsid w:val="46AF0723"/>
    <w:rsid w:val="47A51121"/>
    <w:rsid w:val="4CA162F0"/>
    <w:rsid w:val="4DC027A1"/>
    <w:rsid w:val="4DE343D9"/>
    <w:rsid w:val="4F007E96"/>
    <w:rsid w:val="506A2AFE"/>
    <w:rsid w:val="5077196A"/>
    <w:rsid w:val="52BE67DD"/>
    <w:rsid w:val="52CA0C50"/>
    <w:rsid w:val="55713605"/>
    <w:rsid w:val="57AA2DFF"/>
    <w:rsid w:val="58EC6F6F"/>
    <w:rsid w:val="60056797"/>
    <w:rsid w:val="61F62B25"/>
    <w:rsid w:val="636D1FAC"/>
    <w:rsid w:val="674C0924"/>
    <w:rsid w:val="6D633055"/>
    <w:rsid w:val="734325A8"/>
    <w:rsid w:val="73DB2D01"/>
    <w:rsid w:val="74F13428"/>
    <w:rsid w:val="76EB4627"/>
    <w:rsid w:val="78CD25BE"/>
    <w:rsid w:val="799D5A89"/>
    <w:rsid w:val="7A74342D"/>
    <w:rsid w:val="7BA3637A"/>
    <w:rsid w:val="7DC00DDD"/>
    <w:rsid w:val="7E335B3E"/>
    <w:rsid w:val="7F4A51C8"/>
    <w:rsid w:val="7FC95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898</Words>
  <Characters>5119</Characters>
  <Application>Microsoft Office Word</Application>
  <DocSecurity>0</DocSecurity>
  <Lines>42</Lines>
  <Paragraphs>12</Paragraphs>
  <ScaleCrop>false</ScaleCrop>
  <Company>Microsoft</Company>
  <LinksUpToDate>false</LinksUpToDate>
  <CharactersWithSpaces>6005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冯原</dc:creator>
  <cp:lastModifiedBy>Windows 用户</cp:lastModifiedBy>
  <cp:revision>2</cp:revision>
  <dcterms:created xsi:type="dcterms:W3CDTF">2023-07-09T05:39:00Z</dcterms:created>
  <dcterms:modified xsi:type="dcterms:W3CDTF">2025-07-07T00:22:00Z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A0CE47484E2643A6AAC668759E67817E_11</vt:lpwstr>
  </property>
  <property fmtid="{D5CDD505-2E9C-101B-9397-08002B2CF9AE}" pid="4" name="KSOTemplateDocerSaveRecord">
    <vt:lpwstr>eyJoZGlkIjoiNDdiZDI4N2MwZjgyMGIwZWM1OWE0ZjBjNTZhZDNhMGYiLCJ1c2VySWQiOiIyODkzMjk2ODgifQ==</vt:lpwstr>
  </property>
</Properties>
</file>